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B782C" w14:textId="77777777" w:rsidR="006F5E34" w:rsidRDefault="006F5E34">
      <w:pPr>
        <w:widowControl w:val="0"/>
        <w:autoSpaceDE w:val="0"/>
        <w:autoSpaceDN w:val="0"/>
        <w:adjustRightInd w:val="0"/>
        <w:spacing w:after="0" w:line="240" w:lineRule="auto"/>
        <w:rPr>
          <w:rFonts w:ascii="Times New Roman" w:hAnsi="Times New Roman"/>
          <w:sz w:val="24"/>
          <w:szCs w:val="24"/>
        </w:rPr>
      </w:pPr>
    </w:p>
    <w:p w14:paraId="10EDE8A2" w14:textId="77777777" w:rsidR="006F5E34" w:rsidRDefault="006F5E3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2024E9E" w14:textId="77777777" w:rsidR="006F5E34" w:rsidRDefault="006F5E3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7D8ECCF9"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6A5A7AE5"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2C298892"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506919A9"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6B0A5351"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62B2BFC"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41432934"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489094BE"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6DA72998"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0F38DA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5A8D120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70FAA89B"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5B23365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70E9C24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52CF5A5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77C88933"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63445712"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4FCD3CF5"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0FA860AB"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4991358B"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as required, to allow for safe, convenient and logical circulation, while discouraging through traffic.  Design pavements based on the anticipated daily traffic ([___] cars, [___] single unit trucks, [___] H20 loadings) over the life of the project ([25] [___] years) as well as the existing soil conditions at the site.</w:t>
      </w:r>
    </w:p>
    <w:p w14:paraId="62C002E4"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7B3BC628"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3F2DEADC"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of [bituminous pavement][Portland cement concrete (PCC) pavement][______] [where indicated on the drawings in Part 6].  [Permeable pavement is not allowed.] Aggregate pavement may [not] be used.</w:t>
      </w:r>
    </w:p>
    <w:p w14:paraId="5F97DD5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6013A0F5"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other roadway improvements including [bus stops ][traffic signalization ][markings ] [signage ][_____].</w:t>
      </w:r>
    </w:p>
    <w:p w14:paraId="6C12B9FB"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street or roads are adjacent to median planting, provide a minimum [2 feet (600 mm) wide (including curb)] [       ] concrete maintenance walk adjacent to street or road to allow for landscape [and irrigation] maintenance.]</w:t>
      </w:r>
    </w:p>
    <w:p w14:paraId="2575D05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33C7552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0119A89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 </w:t>
      </w:r>
    </w:p>
    <w:p w14:paraId="50643A0F"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30142F90"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11716BA6"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473B8BF5"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curb and gutter to tie into adjacent facilities.</w:t>
      </w:r>
    </w:p>
    <w:p w14:paraId="527508E0"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6EE24F2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7B03FDA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632627F6"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49D7E8CD"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7B0AD18B"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6915AFD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crosswalks][to match existing][_____].</w:t>
      </w:r>
    </w:p>
    <w:p w14:paraId="0008A08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6604374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4ACAB5BB"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5DAA9AD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[wheelstops], [and] [bollards] in accordance with UFC 3-201-01, </w:t>
      </w:r>
      <w:r>
        <w:rPr>
          <w:rFonts w:ascii="ArialMT" w:hAnsi="ArialMT" w:cs="ArialMT"/>
          <w:i/>
          <w:iCs/>
          <w:sz w:val="20"/>
          <w:szCs w:val="20"/>
        </w:rPr>
        <w:t>Civil Engineering</w:t>
      </w:r>
      <w:r>
        <w:rPr>
          <w:rFonts w:ascii="ArialMT" w:hAnsi="ArialMT" w:cs="ArialMT"/>
          <w:sz w:val="20"/>
          <w:szCs w:val="20"/>
        </w:rPr>
        <w:t>.</w:t>
      </w:r>
    </w:p>
    <w:p w14:paraId="750387D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237E48F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3EC24F99"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3F7483F0"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73F6627B"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4E2CEFC9"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2CF7C976"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[above and beyond the existing parking area].  The design of pavements must include the anticipated daily traffic ([___] cars, [___] single unit trucks, [___] H20 loadings) over the life of the project ([20] [___] years) as well as the existing soil conditions at the site.</w:t>
      </w:r>
    </w:p>
    <w:p w14:paraId="38F88CBC"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323BCC1C"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3B12106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3F0C558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5738E2AB"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parking improvements including [_____ parking entrances for [one] [two] way traffic] [_____motorcycle parking stalls ][_____bicycle stalls ] [separate service drive for delivery vehicles] [drive-up drop-off access] [markings ][signage ][landscaping ][_____].  [See ESR G2050 for parking lot landscape requirements.]</w:t>
      </w:r>
    </w:p>
    <w:p w14:paraId="3C5CABC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4A372CEA"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41C2E041"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6C21EFE2"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6CFC9BDF"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31F4B412"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13ACEC56"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curb and gutter to tie into adjacent facilities. </w:t>
      </w:r>
    </w:p>
    <w:p w14:paraId="6BF351E4"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70998FE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4E33CA9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33F106E9"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40A2E79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permanent and temporary markings (pavement, curb and object), signage (regulatory, warning and guidance) and other traffic control devices as required to facilitate proper utilization of the parking areas.</w:t>
      </w:r>
    </w:p>
    <w:p w14:paraId="449C8379"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436C8216"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34C76A9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existing][_____].</w:t>
      </w:r>
    </w:p>
    <w:p w14:paraId="61522D6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28A59C5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746C9FF5"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064163BB"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159BBBCD"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12806A2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637573B2"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2BE45479"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7189738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41211BFE"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2E3BAA2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41FA7913"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41039383"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413ED89D"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2308D894"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25695B9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w:t>
      </w:r>
      <w:r w:rsidR="00D668BF">
        <w:rPr>
          <w:rFonts w:ascii="ArialMT" w:hAnsi="ArialMT" w:cs="ArialMT"/>
          <w:b/>
          <w:bCs/>
          <w:sz w:val="28"/>
          <w:szCs w:val="28"/>
        </w:rPr>
        <w:t xml:space="preserve"> </w:t>
      </w:r>
      <w:r>
        <w:rPr>
          <w:rFonts w:ascii="ArialMT" w:hAnsi="ArialMT" w:cs="ArialMT"/>
          <w:b/>
          <w:bCs/>
          <w:sz w:val="28"/>
          <w:szCs w:val="28"/>
        </w:rPr>
        <w:t xml:space="preserve">OTHER WALKS, STEPS &amp; TERRACES </w:t>
      </w:r>
    </w:p>
    <w:p w14:paraId="55EA8D2F"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sidR="00D668BF">
        <w:rPr>
          <w:rFonts w:ascii="ArialMT" w:hAnsi="ArialMT" w:cs="ArialMT"/>
          <w:b/>
          <w:bCs/>
          <w:sz w:val="28"/>
          <w:szCs w:val="28"/>
        </w:rPr>
        <w:t xml:space="preserve"> </w:t>
      </w:r>
      <w:r>
        <w:rPr>
          <w:rFonts w:ascii="ArialMT" w:hAnsi="ArialMT" w:cs="ArialMT"/>
          <w:b/>
          <w:bCs/>
          <w:sz w:val="28"/>
          <w:szCs w:val="28"/>
        </w:rPr>
        <w:t xml:space="preserve">SITE DEVELOPMENT </w:t>
      </w:r>
    </w:p>
    <w:p w14:paraId="2237372B"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3B4C201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727830C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 ]</w:t>
      </w:r>
    </w:p>
    <w:p w14:paraId="07F3358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ornamental fence of [wrought iron] [wood] [        ]. ]</w:t>
      </w:r>
    </w:p>
    <w:p w14:paraId="1858642B"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120771FB"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42AC720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the security fence, provide [one] [two] single line fence[s] surrounding the restricted area.  Provide security clear zones as required.  Ensure that the fabric height is at least [7 feet (2.1 m)][       </w:t>
      </w:r>
      <w:r>
        <w:rPr>
          <w:rFonts w:ascii="ArialMT" w:hAnsi="ArialMT" w:cs="ArialMT"/>
          <w:sz w:val="20"/>
          <w:szCs w:val="20"/>
        </w:rPr>
        <w:lastRenderedPageBreak/>
        <w:t xml:space="preserve">feet (     meters)].  Provide outriggers and [three][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6C9FCAE3"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49375DD3"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6C174F20"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Site furnishings are required to conform to the Base Exterior Architectural Plan (BEAP) and the Installation Appearance Plan (IAP).  Provide [picnic tables][trash receptacles][benches] [barbecues] [recycling receptacles] [hot ash receptacles] [______] [as indicated on the drawings in Part 6].   At a minimum, provide a trash and ash receptacle at the designated smoking area.</w:t>
      </w:r>
    </w:p>
    <w:p w14:paraId="554378E8"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picnic areas [as indicated on the drawings in Part 6].  Design picnic areas to accommodate up to [twelve] [     ] people.]</w:t>
      </w:r>
    </w:p>
    <w:p w14:paraId="188246E8"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58E6F7F7"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 xml:space="preserve"> **********************************************************************************************************</w:t>
      </w:r>
    </w:p>
    <w:p w14:paraId="2FC395B9"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7D53AF9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 ][crash gates, ][crash beams, ][and][active tire shredders].  [Provide active vehicle barricades, ] [bollards, ][and ][crash gates] with a Department of State certified crash rating of [K12][_____].  [Provide crash beams capable of withstanding a 10,000 pound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house][_____].]  Properly protect and rate outdoor controls.</w:t>
      </w:r>
    </w:p>
    <w:p w14:paraId="0E8569AA"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2F335ED3"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60C983BE"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emergency fast operation (EFO) is used when a threat condition exists requiring immediate activation of the barrier to prevent unauthorized access.  The EFO will have the ability to be activated by [1][2][__]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[1][______] second[s],     and the time to close the barrier from the deployed position must not exceed [5] [ ] second[s].  In EFO, all the barriers for a gate location must deploy at the same time     and initiate an alarm signal at the [Installation dispatch center] [ ]. </w:t>
      </w:r>
    </w:p>
    <w:p w14:paraId="2DCFE79E"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master reset control for lowering the barrier, after EFO, must be a keyed switch located within the gate house control panel.  The key will be stored offsite so that lowering/opening of the barriers can be accomplished only by authorized personnel.</w:t>
      </w:r>
    </w:p>
    <w:p w14:paraId="1BF558D7"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[corrosion protection, ] [heater, ][and][insulation].  In the event of a power outage or interruption, operate the vehicle barrier system on an [UPS system][ and ][emergency generator].</w:t>
      </w:r>
    </w:p>
    <w:p w14:paraId="2E5DEBA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64270ED5"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Include the following sentence when the location of active barriers may disrupt housing or office environments.</w:t>
      </w:r>
      <w:r>
        <w:rPr>
          <w:rFonts w:ascii="ArialMT" w:hAnsi="ArialMT" w:cs="ArialMT"/>
          <w:b/>
          <w:bCs/>
          <w:vanish/>
          <w:color w:val="0000FF"/>
          <w:sz w:val="20"/>
          <w:szCs w:val="20"/>
        </w:rPr>
        <w:br/>
        <w:t xml:space="preserve"> **********************************************************************************************************</w:t>
      </w:r>
    </w:p>
    <w:p w14:paraId="4970EA0E"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0BCFEB6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4286EA3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 ][anchored concrete Jersey barrier, ][bollards, ][posts, ][tires, ][guardrails, ][ditches, ] [boulders] [and][cable reinforced fence].</w:t>
      </w:r>
    </w:p>
    <w:p w14:paraId="4CD34BD7"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][Each bollard must have a maximum vehicle penetration of 20 feet (6 m).]  [Design the cable reinforced fence for a maximum penetration of 40 feet (12.2 meters).]</w:t>
      </w:r>
    </w:p>
    <w:p w14:paraId="6111627A"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72FBC752"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401A8F4C"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55F82FD9"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2D507E7C"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04112F0C"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G204007 PLAYING FIELDS </w:t>
      </w:r>
    </w:p>
    <w:p w14:paraId="2246843A"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number of courts/fields and the size if not established by the rules of the sport's governing authority.  Add requirements for materials to ensure quality standards.  Coordinate with the PTS Section G204007. </w:t>
      </w:r>
      <w:r>
        <w:rPr>
          <w:rFonts w:ascii="ArialMT" w:hAnsi="ArialMT" w:cs="ArialMT"/>
          <w:b/>
          <w:bCs/>
          <w:vanish/>
          <w:color w:val="0000FF"/>
          <w:sz w:val="20"/>
          <w:szCs w:val="20"/>
        </w:rPr>
        <w:br/>
        <w:t>**********************************************************************************************************</w:t>
      </w:r>
    </w:p>
    <w:p w14:paraId="064B66A3"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15AD2C39" w14:textId="77777777" w:rsidR="006F5E34" w:rsidRPr="00D668BF" w:rsidRDefault="006F5E3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Provide [one] [two] [_____] exterior [baseball] [basketball] [field hockey] [football] [soccer] [softball] [tennis] [track] [volleyball] [_____] [court] [field].  The size and markings of the court or field must be [as indicated by the National Federation of State High School Associations (NFHS) Court and Field Diagram Guide] [as established by the sport's </w:t>
      </w:r>
      <w:r w:rsidRPr="00D668BF">
        <w:rPr>
          <w:rFonts w:ascii="ArialMT" w:hAnsi="ArialMT" w:cs="ArialMT"/>
          <w:sz w:val="20"/>
          <w:szCs w:val="20"/>
        </w:rPr>
        <w:t>governing authority] [       ].</w:t>
      </w:r>
    </w:p>
    <w:p w14:paraId="2F86323E" w14:textId="77777777" w:rsidR="006F5E34" w:rsidRPr="00D668BF" w:rsidRDefault="006F5E34">
      <w:pPr>
        <w:widowControl w:val="0"/>
        <w:autoSpaceDE w:val="0"/>
        <w:autoSpaceDN w:val="0"/>
        <w:adjustRightInd w:val="0"/>
        <w:spacing w:after="0" w:line="240" w:lineRule="auto"/>
        <w:rPr>
          <w:rFonts w:ascii="ArialMT" w:hAnsi="ArialMT" w:cs="ArialMT"/>
          <w:sz w:val="20"/>
          <w:szCs w:val="20"/>
        </w:rPr>
      </w:pPr>
    </w:p>
    <w:p w14:paraId="4A423C74" w14:textId="77777777" w:rsidR="006F5E34" w:rsidRPr="00D668BF" w:rsidRDefault="006F5E3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668BF">
        <w:rPr>
          <w:rFonts w:ascii="ArialMT" w:hAnsi="ArialMT" w:cs="ArialMT"/>
          <w:sz w:val="20"/>
          <w:szCs w:val="20"/>
        </w:rPr>
        <w:t>b.</w:t>
      </w:r>
      <w:r w:rsidRPr="00D668BF">
        <w:rPr>
          <w:rFonts w:ascii="ArialMT" w:hAnsi="ArialMT" w:cs="ArialMT"/>
          <w:sz w:val="20"/>
          <w:szCs w:val="20"/>
        </w:rPr>
        <w:tab/>
        <w:t>Provide a playing surface of [sod] [with clay infill area] [concrete with synthetic coating surface] [synthetic turf system] [a resilient rubber surface] [_____ surface].</w:t>
      </w:r>
    </w:p>
    <w:p w14:paraId="6A16165D" w14:textId="77777777" w:rsidR="006F5E34" w:rsidRPr="00D668BF" w:rsidRDefault="006F5E34">
      <w:pPr>
        <w:widowControl w:val="0"/>
        <w:autoSpaceDE w:val="0"/>
        <w:autoSpaceDN w:val="0"/>
        <w:adjustRightInd w:val="0"/>
        <w:spacing w:after="0" w:line="240" w:lineRule="auto"/>
        <w:rPr>
          <w:rFonts w:ascii="ArialMT" w:hAnsi="ArialMT" w:cs="ArialMT"/>
          <w:sz w:val="20"/>
          <w:szCs w:val="20"/>
        </w:rPr>
      </w:pPr>
    </w:p>
    <w:p w14:paraId="6C64E106" w14:textId="77777777" w:rsidR="006F5E34" w:rsidRPr="00D668BF" w:rsidRDefault="006F5E3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668BF">
        <w:rPr>
          <w:rFonts w:ascii="ArialMT" w:hAnsi="ArialMT" w:cs="ArialMT"/>
          <w:sz w:val="20"/>
          <w:szCs w:val="20"/>
        </w:rPr>
        <w:t>c.</w:t>
      </w:r>
      <w:r w:rsidRPr="00D668BF">
        <w:rPr>
          <w:rFonts w:ascii="ArialMT" w:hAnsi="ArialMT" w:cs="ArialMT"/>
          <w:sz w:val="20"/>
          <w:szCs w:val="20"/>
        </w:rPr>
        <w:tab/>
        <w:t>Provide playing field accessories:  [bases] [goals] [_____].</w:t>
      </w:r>
    </w:p>
    <w:p w14:paraId="75198AF4" w14:textId="77777777" w:rsidR="006F5E34" w:rsidRPr="00D668BF" w:rsidRDefault="006F5E34">
      <w:pPr>
        <w:widowControl w:val="0"/>
        <w:autoSpaceDE w:val="0"/>
        <w:autoSpaceDN w:val="0"/>
        <w:adjustRightInd w:val="0"/>
        <w:spacing w:after="0" w:line="240" w:lineRule="auto"/>
        <w:rPr>
          <w:rFonts w:ascii="ArialMT" w:hAnsi="ArialMT" w:cs="ArialMT"/>
          <w:sz w:val="20"/>
          <w:szCs w:val="20"/>
        </w:rPr>
      </w:pPr>
    </w:p>
    <w:p w14:paraId="6FF4A282" w14:textId="77777777" w:rsidR="006F5E34" w:rsidRPr="00D668BF" w:rsidRDefault="006F5E3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668BF">
        <w:rPr>
          <w:rFonts w:ascii="ArialMT" w:hAnsi="ArialMT" w:cs="ArialMT"/>
          <w:sz w:val="20"/>
          <w:szCs w:val="20"/>
        </w:rPr>
        <w:t>d.</w:t>
      </w:r>
      <w:r w:rsidRPr="00D668BF">
        <w:rPr>
          <w:rFonts w:ascii="ArialMT" w:hAnsi="ArialMT" w:cs="ArialMT"/>
          <w:sz w:val="20"/>
          <w:szCs w:val="20"/>
        </w:rPr>
        <w:tab/>
        <w:t>[Provide a swimming pool as indicated.]</w:t>
      </w:r>
    </w:p>
    <w:p w14:paraId="170B3669" w14:textId="77777777" w:rsidR="006F5E34" w:rsidRPr="00D668BF" w:rsidRDefault="006F5E34">
      <w:pPr>
        <w:widowControl w:val="0"/>
        <w:autoSpaceDE w:val="0"/>
        <w:autoSpaceDN w:val="0"/>
        <w:adjustRightInd w:val="0"/>
        <w:spacing w:after="0" w:line="240" w:lineRule="auto"/>
        <w:rPr>
          <w:rFonts w:ascii="ArialMT" w:hAnsi="ArialMT" w:cs="ArialMT"/>
          <w:sz w:val="20"/>
          <w:szCs w:val="20"/>
        </w:rPr>
      </w:pPr>
    </w:p>
    <w:p w14:paraId="24332440" w14:textId="77777777" w:rsidR="006F5E34" w:rsidRPr="00D668BF" w:rsidRDefault="006F5E3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668BF">
        <w:rPr>
          <w:rFonts w:ascii="ArialMT" w:hAnsi="ArialMT" w:cs="ArialMT"/>
          <w:sz w:val="20"/>
          <w:szCs w:val="20"/>
        </w:rPr>
        <w:t>e.</w:t>
      </w:r>
      <w:r w:rsidRPr="00D668BF">
        <w:rPr>
          <w:rFonts w:ascii="ArialMT" w:hAnsi="ArialMT" w:cs="ArialMT"/>
          <w:sz w:val="20"/>
          <w:szCs w:val="20"/>
        </w:rPr>
        <w:tab/>
        <w:t>Provide [tot lots] [play lots] as indicated.  Provide play surfaces as [poured-in-place rubber] [____].</w:t>
      </w:r>
    </w:p>
    <w:p w14:paraId="59027760" w14:textId="77777777" w:rsidR="006F5E34" w:rsidRPr="00D668BF" w:rsidRDefault="006F5E34">
      <w:pPr>
        <w:widowControl w:val="0"/>
        <w:autoSpaceDE w:val="0"/>
        <w:autoSpaceDN w:val="0"/>
        <w:adjustRightInd w:val="0"/>
        <w:spacing w:after="0" w:line="240" w:lineRule="auto"/>
        <w:rPr>
          <w:rFonts w:ascii="ArialMT" w:hAnsi="ArialMT" w:cs="ArialMT"/>
          <w:sz w:val="20"/>
          <w:szCs w:val="20"/>
        </w:rPr>
      </w:pPr>
    </w:p>
    <w:p w14:paraId="4EAA8CB2" w14:textId="77777777" w:rsidR="006F5E34" w:rsidRPr="00D668BF" w:rsidRDefault="006F5E34">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7FE454F0"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759B77F1"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68554306"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29F91B5E"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pad.][Provide enclosure conforming to the Activity's BEAP and Installation Appearance Plan.][Provide double metal gate with self-closing mechanism.]</w:t>
      </w:r>
    </w:p>
    <w:p w14:paraId="549BA4FD"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72154E75"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366FC276"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7883E854"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consisting of [lawn] [groundcover] [trees] [shrubs] [perennials] [ornamental grasses] [organic mulches] and [inorganic mulches] to provide a quality, cost-effective, functional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7774D8F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year][_____] .  Provide a [one year][     ] Establishment and Maintenance period.  Landscaping Guarantee and Establishment and Maintenance periods must commence on the date that the inspection by the Contracting Officer shows that all landscaping under </w:t>
      </w:r>
      <w:r>
        <w:rPr>
          <w:rFonts w:ascii="ArialMT" w:hAnsi="ArialMT" w:cs="ArialMT"/>
          <w:sz w:val="20"/>
          <w:szCs w:val="20"/>
        </w:rPr>
        <w:lastRenderedPageBreak/>
        <w:t>this contract has been satisfactorily installed.</w:t>
      </w:r>
    </w:p>
    <w:p w14:paraId="58B3B49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maintenance, including but not limited to, routine lawn mowing, edging, pruning, pest inspection/treatment, re-mulching of mulch products, watering, weeding, fertilizing, and restaking, throughout the guarantee period.</w:t>
      </w:r>
    </w:p>
    <w:p w14:paraId="01252995"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09B8E93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15D86DCE"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2AF92FFF"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34B315A7"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555278D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state and federal requirements. </w:t>
      </w:r>
    </w:p>
    <w:p w14:paraId="57F328D6"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26726F9D"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planting soil mixture composed of [100 percent topsoil] [50 percent native soil blended with 50 percent topsoil] [     ] around root balls of shrubs, trees, groundcovers, perennials, and ornamental grasses that is at a minimum, [twice as wide and equally as deep as the plant's root balls] [     ].  [Set tops of plant rootballs [2 inches (51 mm) above adjacent grades] [even with adjacent grades] [     ].</w:t>
      </w:r>
    </w:p>
    <w:p w14:paraId="0F3093A9"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559D61A8"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11B84AC4"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661907C9"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694C87E7"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3806999C"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703FD6B4"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5C1C99D8"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5046E76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 plantings throughout the site to frame the new building and lessen the visual impact of parking areas.] [Provide street trees that encompass the entire project site with an average spacing of 40 feet (12.2 m) on center.] [Street trees are required to be of [one] [    ] species.]</w:t>
      </w:r>
    </w:p>
    <w:p w14:paraId="4B27745E"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 species.]   [Plant trees in parking lots at the rate of [1] [   ] tree per 10 parking spaces.] [Screen </w:t>
      </w:r>
      <w:r>
        <w:rPr>
          <w:rFonts w:ascii="ArialMT" w:hAnsi="ArialMT" w:cs="ArialMT"/>
          <w:sz w:val="20"/>
          <w:szCs w:val="20"/>
        </w:rPr>
        <w:lastRenderedPageBreak/>
        <w:t>proposed parking lots that can be seen from surrounding roadways or recreational areas with an evergreen shrub.  Shrub size at installation must be a minimum height of [30 inches (762 mm)] [     ] and a minimum width of [24 inches (610 mm)] [     ] and planted [3 feet (.9 m)] [    ] on center.]</w:t>
      </w:r>
    </w:p>
    <w:p w14:paraId="43A804DA"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palm trees, identify sizes on plans by [brown trunk height (BTH)][clear trunk height (CTH)].  Unless otherwise approved by the reviewing Government Landscape Architect, provide minimum BTH or CTH of [8 ft. (2.4 m)][    ]].</w:t>
      </w:r>
    </w:p>
    <w:p w14:paraId="1FCEFCB5"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62C1799A"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3362FE95"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77CD7AB5"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trees and shrubs at the rate of 4 trees and 15 shrubs and/or ground covers per 1000 square feet (93 square meters) of bioretention filter.]  [Compose bioretention filter soil mix of the following: [50 percent sharp sand, 30 percent topsoil, 15 percent double shredded hardwood mulch, and 5 percent peat moss] [     ] thoroughly blended.]  [Provide triple shredded hardwood mulch at all bioretention filters.]   [Provide river stone mulch at bioretention filters.] [Provide a 6 foot (1.8 m) wide grass sod border around the entire bioretention filter.  Grass sod species must be [   ].]  Ensure that the bioretention filters are not compromised by sediment deposits during construction.  [Install bioretention filters only after upstream areas tributary to the bioretention filter location have been fully stabilized.]</w:t>
      </w:r>
    </w:p>
    <w:p w14:paraId="20E97721"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to 5 inch (76 mm to 127 mm)] [    ] diameter river stone mulch [over weed control fabric] at planting beds [adjacent to buildings].  [Provide stone mulch to a depth of [3 inches (76.2 mm)]   [     ].</w:t>
      </w:r>
    </w:p>
    <w:p w14:paraId="378BECC1"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inches (76 mm) of [shredded hardwood][     ] mulch [over weed control fabric] at planting beds.]</w:t>
      </w:r>
    </w:p>
    <w:p w14:paraId="0E0671B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[Encompass planting beds not used for bioretention filters with [steel edging] [concrete edging] [    ].]</w:t>
      </w:r>
    </w:p>
    <w:p w14:paraId="28447B61"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    ] wide by [12 inch (305 mm)][    ] deep concrete band [around rubberized surfacing][between asphalt paving and turf area][between asphalt paving and planting area][between asphalt paving and rock mulch/cobble area]].  [Provide 6 inch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    ] to minimize damage to site improvements.]</w:t>
      </w:r>
    </w:p>
    <w:p w14:paraId="663DF72D"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7240695D" w14:textId="77777777" w:rsidR="006F5E34" w:rsidRDefault="006F5E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2C1703D5" w14:textId="77777777" w:rsidR="006F5E34" w:rsidRDefault="006F5E34">
      <w:pPr>
        <w:widowControl w:val="0"/>
        <w:autoSpaceDE w:val="0"/>
        <w:autoSpaceDN w:val="0"/>
        <w:adjustRightInd w:val="0"/>
        <w:spacing w:after="0" w:line="240" w:lineRule="auto"/>
        <w:rPr>
          <w:rFonts w:ascii="ArialMT" w:hAnsi="ArialMT" w:cs="ArialMT"/>
          <w:vanish/>
          <w:sz w:val="20"/>
          <w:szCs w:val="20"/>
        </w:rPr>
      </w:pPr>
    </w:p>
    <w:p w14:paraId="09FABD5A"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733ED74C"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4CD661E4"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controller must be compatible with existing central irrigation control system.  [Provide rain shut-off and flow-sensing devices.][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w:t>
      </w:r>
      <w:r>
        <w:rPr>
          <w:rFonts w:ascii="ArialMT" w:hAnsi="ArialMT" w:cs="ArialMT"/>
          <w:sz w:val="20"/>
          <w:szCs w:val="20"/>
        </w:rPr>
        <w:lastRenderedPageBreak/>
        <w:t>submittals.] [Provide landscape irrigation audit prior to start of landscape establishment/maintenance period.]</w:t>
      </w:r>
    </w:p>
    <w:p w14:paraId="5776353A" w14:textId="77777777" w:rsidR="006F5E34" w:rsidRDefault="006F5E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6CE4E442" w14:textId="77777777" w:rsidR="006F5E34" w:rsidRDefault="006F5E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6F5E3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15F70" w14:textId="77777777" w:rsidR="00E167E8" w:rsidRDefault="00E167E8">
      <w:pPr>
        <w:spacing w:after="0" w:line="240" w:lineRule="auto"/>
      </w:pPr>
      <w:r>
        <w:separator/>
      </w:r>
    </w:p>
  </w:endnote>
  <w:endnote w:type="continuationSeparator" w:id="0">
    <w:p w14:paraId="5CDF968B" w14:textId="77777777" w:rsidR="00E167E8" w:rsidRDefault="00E16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FE769" w14:textId="77777777" w:rsidR="006F5E34" w:rsidRDefault="006F5E3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8C134" w14:textId="77777777" w:rsidR="00E167E8" w:rsidRDefault="00E167E8">
      <w:pPr>
        <w:spacing w:after="0" w:line="240" w:lineRule="auto"/>
      </w:pPr>
      <w:r>
        <w:separator/>
      </w:r>
    </w:p>
  </w:footnote>
  <w:footnote w:type="continuationSeparator" w:id="0">
    <w:p w14:paraId="77B164A4" w14:textId="77777777" w:rsidR="00E167E8" w:rsidRDefault="00E16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77D82" w14:textId="77777777" w:rsidR="006F5E34" w:rsidRDefault="006F5E3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BF"/>
    <w:rsid w:val="006F5E34"/>
    <w:rsid w:val="00A82CCF"/>
    <w:rsid w:val="00D668BF"/>
    <w:rsid w:val="00E1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5292F1"/>
  <w14:defaultImageDpi w14:val="0"/>
  <w15:docId w15:val="{77D87C2A-F926-40C0-BCCB-214EA2E0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4815</Words>
  <Characters>27448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2024-06-13T17:08:00Z</dcterms:created>
  <dcterms:modified xsi:type="dcterms:W3CDTF">2024-06-13T17:08:00Z</dcterms:modified>
  <cp:category>Design Build</cp:category>
</cp:coreProperties>
</file>