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1D907" w14:textId="77777777" w:rsidR="00EC3DA2" w:rsidRDefault="00EC3DA2">
      <w:pPr>
        <w:widowControl w:val="0"/>
        <w:autoSpaceDE w:val="0"/>
        <w:autoSpaceDN w:val="0"/>
        <w:adjustRightInd w:val="0"/>
        <w:spacing w:after="0" w:line="240" w:lineRule="auto"/>
        <w:rPr>
          <w:rFonts w:ascii="Times New Roman" w:hAnsi="Times New Roman"/>
          <w:sz w:val="24"/>
          <w:szCs w:val="24"/>
        </w:rPr>
      </w:pPr>
    </w:p>
    <w:p w14:paraId="79FFC9FD" w14:textId="77777777" w:rsidR="00EC3DA2" w:rsidRDefault="00EC3DA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4F4F70E" w14:textId="77777777" w:rsidR="00EC3DA2" w:rsidRDefault="00EC3DA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24B6AF93"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For Camp Pendleton projects a Performance Based Fire Hazard Analysis needs to be required due to providing adequate fire protection for the breezeways and dwelling units.</w:t>
      </w:r>
      <w:r>
        <w:rPr>
          <w:rFonts w:ascii="ArialMT" w:hAnsi="ArialMT" w:cs="ArialMT"/>
          <w:b/>
          <w:bCs/>
          <w:vanish/>
          <w:color w:val="0000FF"/>
          <w:sz w:val="20"/>
          <w:szCs w:val="20"/>
        </w:rPr>
        <w:br/>
        <w:t>**********************************************************************************************************</w:t>
      </w:r>
    </w:p>
    <w:p w14:paraId="0F7A6BED"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668B2E8C"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0485ADB2"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17652A4F"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1F14C55C"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7AE417C9"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1B717128"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w:t>
      </w:r>
    </w:p>
    <w:p w14:paraId="6A0EDE2D"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is used in the manufacturer's recommendations, substitute the word "must".</w:t>
      </w:r>
    </w:p>
    <w:p w14:paraId="576E4B99"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w:t>
      </w:r>
      <w:r w:rsidR="00537877">
        <w:rPr>
          <w:rFonts w:ascii="ArialMT" w:hAnsi="ArialMT" w:cs="ArialMT"/>
          <w:sz w:val="20"/>
          <w:szCs w:val="20"/>
        </w:rPr>
        <w:t>,</w:t>
      </w:r>
      <w:r>
        <w:rPr>
          <w:rFonts w:ascii="ArialMT" w:hAnsi="ArialMT" w:cs="ArialMT"/>
          <w:sz w:val="20"/>
          <w:szCs w:val="20"/>
        </w:rPr>
        <w:t xml:space="preserve"> Building Code/Life Safety Analysis, plans, specifications, and calculations) developed for Section D40 must be prepared by, or under the supervision of the design/build contractor's Qualified Fire Protection Engineer, the Fire Protection Designer of Record (FPDOR).</w:t>
      </w:r>
    </w:p>
    <w:p w14:paraId="3D5711F6"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III][Level IV] certification in the appropriate subfield.[  Individuals responsible for work specified in D4090 must hold a Level IV certification in the Special Hazards Suppression Systems subfield.]</w:t>
      </w:r>
    </w:p>
    <w:p w14:paraId="5058DAFD"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7BD606D4" w14:textId="77777777" w:rsidR="00EC3DA2" w:rsidRDefault="00EC3D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5CD0FAEF"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3787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58378FD8"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66963652"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[and public address] systems capable of notifying building occupants inside the facility.  Provide a complete, electrically supervised, addressable intelligent, manual and automatic, annunciated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  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2BAED45D"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fire alarm control panel capable of handling a minimum of 500 individually identified sensors within the main control panel.  Provide Class A, Style Z Notification Appliance Circuits, Class B, Style </w:t>
      </w:r>
      <w:r>
        <w:rPr>
          <w:rFonts w:ascii="ArialMT" w:hAnsi="ArialMT" w:cs="ArialMT"/>
          <w:sz w:val="20"/>
          <w:szCs w:val="20"/>
        </w:rPr>
        <w:lastRenderedPageBreak/>
        <w:t>4 Signaling Line Circuits, and Class B, Style A Initiation Device Circuits. [Provide back-up amplifiers for combination fire alarm/mass notification systems.]</w:t>
      </w:r>
    </w:p>
    <w:p w14:paraId="6D15AED4"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sounder bases for smoke detectors within dwelling areas.  Fire alarm system must be programmed such that activation of a dwelling unit smoke detector causes all detector sounder bases within that unit to alarm and a supervisory signal to be activated at the fire alarm control panel.  Activation of any subsequent smoke detector must activate the building evacuation alarm.</w:t>
      </w:r>
    </w:p>
    <w:p w14:paraId="73E0D9F2"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surface mounted manual pull stations.</w:t>
      </w:r>
    </w:p>
    <w:p w14:paraId="14161E84"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2F9D5C56"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microphone station located [____].</w:t>
      </w:r>
    </w:p>
    <w:p w14:paraId="42EC136D" w14:textId="77777777" w:rsidR="00EC3DA2" w:rsidRDefault="00EC3D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75B221AC"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877">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  Water supply data is to be provided by the government.  This is crucial information that is needed to determine the necessity of a fire pump and water storage tanks.</w:t>
      </w:r>
      <w:r>
        <w:rPr>
          <w:rFonts w:ascii="ArialMT" w:hAnsi="ArialMT" w:cs="ArialMT"/>
          <w:b/>
          <w:bCs/>
          <w:vanish/>
          <w:color w:val="0000FF"/>
          <w:sz w:val="20"/>
          <w:szCs w:val="20"/>
        </w:rPr>
        <w:br/>
        <w:t>**********************************************************************************************************</w:t>
      </w:r>
    </w:p>
    <w:p w14:paraId="4DC2C4F6"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440AE669"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hydraulic calculations on a static pressure of [    ] psig (gauge) ([_____]kPa) with [_____] gpm  ([    ] L/m) available at a residual pressure of [_____] psig (gauge) ([    ] kPa) at [the junction with the water distribution piping system] [the base of the sprinkler piping riser] [    ].</w:t>
      </w:r>
    </w:p>
    <w:p w14:paraId="71362A33"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incoming sprinkler service with a [double check backflow preventer][reduced pressure principle backflow preventer].]</w:t>
      </w:r>
    </w:p>
    <w:p w14:paraId="45FDE17C"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877">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must be provided.  The government is to coordinate with the base fire department as to preference of a wall mounted or pedestal type fire department connection.</w:t>
      </w:r>
      <w:r>
        <w:rPr>
          <w:rFonts w:ascii="ArialMT" w:hAnsi="ArialMT" w:cs="ArialMT"/>
          <w:b/>
          <w:bCs/>
          <w:vanish/>
          <w:color w:val="0000FF"/>
          <w:sz w:val="20"/>
          <w:szCs w:val="20"/>
        </w:rPr>
        <w:br/>
        <w:t>**********************************************************************************************************</w:t>
      </w:r>
    </w:p>
    <w:p w14:paraId="37C02EBC"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62CDB038"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07EE50F4"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split-case centrifugal] [vertical split-case centrifugal] [vertical shaft turbine-type] where required, [diesel][electric] driven fire pump[s] where required by criteria.</w:t>
      </w:r>
    </w:p>
    <w:p w14:paraId="5CA456BD" w14:textId="77777777" w:rsidR="00EC3DA2" w:rsidRDefault="00EC3D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D4030 STANDPIPE SYSTEMS </w:t>
      </w:r>
    </w:p>
    <w:p w14:paraId="27A0700C"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Class I standpipe system where required by criteria.]</w:t>
      </w:r>
    </w:p>
    <w:p w14:paraId="50F7389A" w14:textId="77777777" w:rsidR="00EC3DA2" w:rsidRDefault="00EC3DA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877">
        <w:rPr>
          <w:rFonts w:ascii="ArialMT" w:hAnsi="ArialMT" w:cs="ArialMT"/>
          <w:b/>
          <w:bCs/>
          <w:vanish/>
          <w:color w:val="0000FF"/>
          <w:sz w:val="20"/>
          <w:szCs w:val="20"/>
        </w:rPr>
        <w:t xml:space="preserve"> </w:t>
      </w:r>
      <w:r>
        <w:rPr>
          <w:rFonts w:ascii="ArialMT" w:hAnsi="ArialMT" w:cs="ArialMT"/>
          <w:b/>
          <w:bCs/>
          <w:vanish/>
          <w:color w:val="0000FF"/>
          <w:sz w:val="20"/>
          <w:szCs w:val="20"/>
        </w:rPr>
        <w:t>Residual pressure requirements specified in NFPA 14 may be omitted for buildings under 150 feet (45 m) in height where fire department apparatus are expected to boost pressure in standpipe systems.  RFP Editor must contact fire department to verify capabilities and edit RFP accordingly.  If the fire department does not have the capability then require that the fire pump meet NFPA 14 pressure requirements.</w:t>
      </w:r>
      <w:r>
        <w:rPr>
          <w:rFonts w:ascii="ArialMT" w:hAnsi="ArialMT" w:cs="ArialMT"/>
          <w:b/>
          <w:bCs/>
          <w:vanish/>
          <w:color w:val="0000FF"/>
          <w:sz w:val="20"/>
          <w:szCs w:val="20"/>
        </w:rPr>
        <w:br/>
        <w:t>**********************************************************************************************************</w:t>
      </w:r>
    </w:p>
    <w:p w14:paraId="37434749" w14:textId="77777777" w:rsidR="00EC3DA2" w:rsidRDefault="00EC3DA2">
      <w:pPr>
        <w:widowControl w:val="0"/>
        <w:autoSpaceDE w:val="0"/>
        <w:autoSpaceDN w:val="0"/>
        <w:adjustRightInd w:val="0"/>
        <w:spacing w:after="0" w:line="240" w:lineRule="auto"/>
        <w:rPr>
          <w:rFonts w:ascii="ArialMT" w:hAnsi="ArialMT" w:cs="ArialMT"/>
          <w:vanish/>
          <w:sz w:val="20"/>
          <w:szCs w:val="20"/>
        </w:rPr>
      </w:pPr>
    </w:p>
    <w:p w14:paraId="2B127F1B"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standpipe system and sprinkler system must be fed from the same supply as a combined system.]  [Residual pressure requirements specified in NFPA 14 must be supplied by a fire pump.]</w:t>
      </w:r>
    </w:p>
    <w:p w14:paraId="7FA30280" w14:textId="77777777" w:rsidR="00EC3DA2" w:rsidRDefault="00EC3DA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2BA3E495"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either a NFPA 13 or NFPA 13R automatic sprinkler protection to provide complete coverage throughout [____] as required by criteria.</w:t>
      </w:r>
    </w:p>
    <w:p w14:paraId="4984FA2D"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light  hazard areas the sprinkler rate of application must be 4.1 L/min/m</w:t>
      </w:r>
      <w:r>
        <w:rPr>
          <w:rFonts w:ascii="ArialMT" w:hAnsi="ArialMT" w:cs="ArialMT"/>
          <w:sz w:val="20"/>
          <w:szCs w:val="20"/>
          <w:vertAlign w:val="superscript"/>
        </w:rPr>
        <w:t>2</w:t>
      </w:r>
      <w:r>
        <w:rPr>
          <w:rFonts w:ascii="ArialMT" w:hAnsi="ArialMT" w:cs="ArialMT"/>
          <w:sz w:val="20"/>
          <w:szCs w:val="20"/>
        </w:rPr>
        <w:t xml:space="preserve">  (.1 gpm/ft</w:t>
      </w:r>
      <w:r>
        <w:rPr>
          <w:rFonts w:ascii="ArialMT" w:hAnsi="ArialMT" w:cs="ArialMT"/>
          <w:sz w:val="20"/>
          <w:szCs w:val="20"/>
          <w:vertAlign w:val="superscript"/>
        </w:rPr>
        <w:t>2</w:t>
      </w:r>
      <w:r>
        <w:rPr>
          <w:rFonts w:ascii="ArialMT" w:hAnsi="ArialMT" w:cs="ArialMT"/>
          <w:sz w:val="20"/>
          <w:szCs w:val="20"/>
        </w:rPr>
        <w:t xml:space="preserve"> ), over an area of 21 m</w:t>
      </w:r>
      <w:r>
        <w:rPr>
          <w:rFonts w:ascii="ArialMT" w:hAnsi="ArialMT" w:cs="ArialMT"/>
          <w:sz w:val="20"/>
          <w:szCs w:val="20"/>
          <w:vertAlign w:val="superscript"/>
        </w:rPr>
        <w:t>2</w:t>
      </w:r>
      <w:r>
        <w:rPr>
          <w:rFonts w:ascii="ArialMT" w:hAnsi="ArialMT" w:cs="ArialMT"/>
          <w:sz w:val="20"/>
          <w:szCs w:val="20"/>
        </w:rPr>
        <w:t xml:space="preserve">  (225 ft</w:t>
      </w:r>
      <w:r>
        <w:rPr>
          <w:rFonts w:ascii="ArialMT" w:hAnsi="ArialMT" w:cs="ArialMT"/>
          <w:sz w:val="20"/>
          <w:szCs w:val="20"/>
          <w:vertAlign w:val="superscript"/>
        </w:rPr>
        <w:t>2</w:t>
      </w:r>
      <w:r>
        <w:rPr>
          <w:rFonts w:ascii="ArialMT" w:hAnsi="ArialMT" w:cs="ArialMT"/>
          <w:sz w:val="20"/>
          <w:szCs w:val="20"/>
        </w:rPr>
        <w:t xml:space="preserve"> ) with hose stream allowance of 950 L/min (250 gpm).  For ordinary hazard areas the sprinkler rate of application must be 6.1 L/min/m</w:t>
      </w:r>
      <w:r>
        <w:rPr>
          <w:rFonts w:ascii="ArialMT" w:hAnsi="ArialMT" w:cs="ArialMT"/>
          <w:sz w:val="20"/>
          <w:szCs w:val="20"/>
          <w:vertAlign w:val="superscript"/>
        </w:rPr>
        <w:t>2</w:t>
      </w:r>
      <w:r>
        <w:rPr>
          <w:rFonts w:ascii="ArialMT" w:hAnsi="ArialMT" w:cs="ArialMT"/>
          <w:sz w:val="20"/>
          <w:szCs w:val="20"/>
        </w:rPr>
        <w:t xml:space="preserve">  (.15 gpm/ft</w:t>
      </w:r>
      <w:r>
        <w:rPr>
          <w:rFonts w:ascii="ArialMT" w:hAnsi="ArialMT" w:cs="ArialMT"/>
          <w:sz w:val="20"/>
          <w:szCs w:val="20"/>
          <w:vertAlign w:val="superscript"/>
        </w:rPr>
        <w:t>2</w:t>
      </w:r>
      <w:r>
        <w:rPr>
          <w:rFonts w:ascii="ArialMT" w:hAnsi="ArialMT" w:cs="ArialMT"/>
          <w:sz w:val="20"/>
          <w:szCs w:val="20"/>
        </w:rPr>
        <w:t xml:space="preserve"> ), over an area of 12.1 m</w:t>
      </w:r>
      <w:r>
        <w:rPr>
          <w:rFonts w:ascii="ArialMT" w:hAnsi="ArialMT" w:cs="ArialMT"/>
          <w:sz w:val="20"/>
          <w:szCs w:val="20"/>
          <w:vertAlign w:val="superscript"/>
        </w:rPr>
        <w:t>2</w:t>
      </w:r>
      <w:r>
        <w:rPr>
          <w:rFonts w:ascii="ArialMT" w:hAnsi="ArialMT" w:cs="ArialMT"/>
          <w:sz w:val="20"/>
          <w:szCs w:val="20"/>
        </w:rPr>
        <w:t xml:space="preserve">  (130 ft</w:t>
      </w:r>
      <w:r>
        <w:rPr>
          <w:rFonts w:ascii="ArialMT" w:hAnsi="ArialMT" w:cs="ArialMT"/>
          <w:sz w:val="20"/>
          <w:szCs w:val="20"/>
          <w:vertAlign w:val="superscript"/>
        </w:rPr>
        <w:t>2</w:t>
      </w:r>
      <w:r>
        <w:rPr>
          <w:rFonts w:ascii="ArialMT" w:hAnsi="ArialMT" w:cs="ArialMT"/>
          <w:sz w:val="20"/>
          <w:szCs w:val="20"/>
        </w:rPr>
        <w:t xml:space="preserve"> ) with hose stream allowance of 1900 L/min (500 gpm).</w:t>
      </w:r>
    </w:p>
    <w:p w14:paraId="0D7E6638"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appropriate style and temperature rating of sprinkler as required by criteria.  Provide [white] [chrome] [    ] sprinkler[s] [cover plates] [escutcheon plates] [to match ceiling color].</w:t>
      </w:r>
    </w:p>
    <w:p w14:paraId="45242BF7" w14:textId="77777777" w:rsidR="00EC3DA2" w:rsidRDefault="00EC3DA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EC3DA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CB321" w14:textId="77777777" w:rsidR="004E73FE" w:rsidRDefault="004E73FE">
      <w:pPr>
        <w:spacing w:after="0" w:line="240" w:lineRule="auto"/>
      </w:pPr>
      <w:r>
        <w:separator/>
      </w:r>
    </w:p>
  </w:endnote>
  <w:endnote w:type="continuationSeparator" w:id="0">
    <w:p w14:paraId="54064558" w14:textId="77777777" w:rsidR="004E73FE" w:rsidRDefault="004E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F7C42" w14:textId="77777777" w:rsidR="00EC3DA2" w:rsidRDefault="00EC3DA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51983" w14:textId="77777777" w:rsidR="004E73FE" w:rsidRDefault="004E73FE">
      <w:pPr>
        <w:spacing w:after="0" w:line="240" w:lineRule="auto"/>
      </w:pPr>
      <w:r>
        <w:separator/>
      </w:r>
    </w:p>
  </w:footnote>
  <w:footnote w:type="continuationSeparator" w:id="0">
    <w:p w14:paraId="31DFCD3A" w14:textId="77777777" w:rsidR="004E73FE" w:rsidRDefault="004E7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F69B0" w14:textId="77777777" w:rsidR="00EC3DA2" w:rsidRDefault="00EC3DA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877"/>
    <w:rsid w:val="00042D71"/>
    <w:rsid w:val="004E73FE"/>
    <w:rsid w:val="00537877"/>
    <w:rsid w:val="00EC3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58B51"/>
  <w14:defaultImageDpi w14:val="0"/>
  <w15:docId w15:val="{81E180D1-E174-4FEE-A183-8A6608F8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2024-06-24T15:09:00Z</dcterms:created>
  <dcterms:modified xsi:type="dcterms:W3CDTF">2024-06-24T15:09:00Z</dcterms:modified>
  <cp:category>Design Build</cp:category>
</cp:coreProperties>
</file>