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95C33" w14:textId="77777777" w:rsidR="00402FE1" w:rsidRDefault="00402FE1">
      <w:pPr>
        <w:widowControl w:val="0"/>
        <w:autoSpaceDE w:val="0"/>
        <w:autoSpaceDN w:val="0"/>
        <w:adjustRightInd w:val="0"/>
        <w:spacing w:after="0" w:line="240" w:lineRule="auto"/>
        <w:rPr>
          <w:rFonts w:ascii="Times New Roman" w:hAnsi="Times New Roman"/>
          <w:sz w:val="24"/>
          <w:szCs w:val="24"/>
        </w:rPr>
      </w:pPr>
    </w:p>
    <w:p w14:paraId="1962B9BE" w14:textId="77777777" w:rsidR="00402FE1" w:rsidRDefault="00402FE1">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7B7C5DC0"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6D259201"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w:t>
      </w:r>
      <w:r>
        <w:rPr>
          <w:rFonts w:ascii="ArialMT" w:hAnsi="ArialMT" w:cs="ArialMT"/>
          <w:b/>
          <w:bCs/>
          <w:vanish/>
          <w:color w:val="0000FF"/>
          <w:sz w:val="20"/>
          <w:szCs w:val="20"/>
        </w:rPr>
        <w:br/>
        <w:t>**********************************************************************************************************</w:t>
      </w:r>
    </w:p>
    <w:p w14:paraId="555F1B23"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3CA0E169"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Secretary of the Navy has authorized the construction of Market Style apartments on the condition that the Navy adopts innovative design and acquisition procedures for these projects, including private sector construction standards. Thus the minimum standards set forth in this document maintain the focus of providing housing for a comfortable living environment. </w:t>
      </w:r>
    </w:p>
    <w:p w14:paraId="02F44EDE"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71824654"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statement that identifies the basic functions provided by the new or renovated facility.</w:t>
      </w:r>
      <w:r>
        <w:rPr>
          <w:rFonts w:ascii="ArialMT" w:hAnsi="ArialMT" w:cs="ArialMT"/>
          <w:b/>
          <w:bCs/>
          <w:vanish/>
          <w:color w:val="0000FF"/>
          <w:sz w:val="20"/>
          <w:szCs w:val="20"/>
        </w:rPr>
        <w:br/>
        <w:t>**********************************************************************************************************</w:t>
      </w:r>
    </w:p>
    <w:p w14:paraId="2DD100C0"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46169673"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The function of the Market Style Apartment building is to provide our unaccompanied military personnel with adequate, comfortable housing .  This is a major goal for the Navy, and a critical element in attracting and retaining high caliber personnel. </w:t>
      </w:r>
    </w:p>
    <w:p w14:paraId="6B96854D"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0884DEC6"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6C6318E2"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30BE96D4"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requirements of maintaining wharf operation or waterway access if applicable.</w:t>
      </w:r>
      <w:r>
        <w:rPr>
          <w:rFonts w:ascii="ArialMT" w:hAnsi="ArialMT" w:cs="ArialMT"/>
          <w:b/>
          <w:bCs/>
          <w:vanish/>
          <w:color w:val="0000FF"/>
          <w:sz w:val="20"/>
          <w:szCs w:val="20"/>
        </w:rPr>
        <w:br/>
        <w:t>**********************************************************************************************************</w:t>
      </w:r>
    </w:p>
    <w:p w14:paraId="1AAD1F41"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7E94CB17"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2D402053"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1024EA72"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7342C62B"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63B946A5"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55D81EDA"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5F247526"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14AF187C"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1C4B132F"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Low Impact Development</w:t>
      </w:r>
      <w:r>
        <w:rPr>
          <w:rFonts w:ascii="ArialMT" w:hAnsi="ArialMT" w:cs="ArialMT"/>
          <w:sz w:val="20"/>
          <w:szCs w:val="20"/>
        </w:rPr>
        <w:t xml:space="preserve">and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072BA627"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3091E2DC"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7B8F0B4"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3CF720FA"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00.15 </w:t>
      </w:r>
      <w:r>
        <w:rPr>
          <w:rFonts w:ascii="ArialMT" w:hAnsi="ArialMT" w:cs="ArialMT"/>
          <w:i/>
          <w:iCs/>
          <w:sz w:val="20"/>
          <w:szCs w:val="20"/>
        </w:rPr>
        <w:t>Building Commissioning, and UFC 1-200-02 High Performance and Sustainable Building Requirements.</w:t>
      </w:r>
    </w:p>
    <w:p w14:paraId="6FB8ECC3"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2.3.5 Accessibility Requirements </w:t>
      </w:r>
    </w:p>
    <w:p w14:paraId="245FDBCB"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0C7FC467"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lastRenderedPageBreak/>
        <w:t xml:space="preserve">   2.3.6 Antiterrorism Criteria </w:t>
      </w:r>
    </w:p>
    <w:p w14:paraId="1C9E6C1A"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4-010-01, </w:t>
      </w:r>
      <w:r>
        <w:rPr>
          <w:rFonts w:ascii="ArialMT" w:hAnsi="ArialMT" w:cs="ArialMT"/>
          <w:b/>
          <w:bCs/>
          <w:i/>
          <w:iCs/>
          <w:vanish/>
          <w:color w:val="0000FF"/>
          <w:sz w:val="20"/>
          <w:szCs w:val="20"/>
        </w:rPr>
        <w:t>DoD Minimum Antiterrorism Standards for Buildings</w:t>
      </w:r>
      <w:r w:rsidR="00DB5EED">
        <w:rPr>
          <w:rFonts w:ascii="ArialMT" w:hAnsi="ArialMT" w:cs="ArialMT"/>
          <w:b/>
          <w:bCs/>
          <w:i/>
          <w:iCs/>
          <w:vanish/>
          <w:color w:val="0000FF"/>
          <w:sz w:val="20"/>
          <w:szCs w:val="20"/>
        </w:rPr>
        <w:t xml:space="preserve"> </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sidR="00DB5EED">
        <w:rPr>
          <w:rFonts w:ascii="ArialMT" w:hAnsi="ArialMT" w:cs="ArialMT"/>
          <w:b/>
          <w:bCs/>
          <w:i/>
          <w:iCs/>
          <w:vanish/>
          <w:color w:val="0000FF"/>
          <w:sz w:val="20"/>
          <w:szCs w:val="20"/>
        </w:rPr>
        <w:t xml:space="preserve"> </w:t>
      </w:r>
      <w:r>
        <w:rPr>
          <w:rFonts w:ascii="ArialMT" w:hAnsi="ArialMT" w:cs="ArialMT"/>
          <w:b/>
          <w:bCs/>
          <w:vanish/>
          <w:color w:val="0000FF"/>
          <w:sz w:val="20"/>
          <w:szCs w:val="20"/>
        </w:rPr>
        <w:t>presents a process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04A5DC45"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69FFE6BB"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19437F75"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4D7D7815"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[low occupancy family housing][low occupancy][insert other exempt category] and UFC 4-010-01 does not apply.]</w:t>
      </w:r>
    </w:p>
    <w:p w14:paraId="61748988"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facility to comply with UFC 4-010-01, DoD Minimum Antiterrorism Standards for Buildings.][ and ][insert appropriate combatant command operations orders.]</w:t>
      </w:r>
    </w:p>
    <w:p w14:paraId="4ECD0052"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[inhabited][primary gathering][billeting][high occupancy family housing] and will require a [very low][low] level of protection in accordance with UFC 4-010-01.</w:t>
      </w:r>
    </w:p>
    <w:p w14:paraId="2992226E"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663FAB3A"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3398C509"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06CBB281"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3 stories or greater and will be required to meet the progressive collapse avoidance standards.]</w:t>
      </w:r>
    </w:p>
    <w:p w14:paraId="4F8BB63C"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UFC 4-010-01 Appendix D provides antiterrorism standards for expeditionary structures.  Insert the following statement if applicable.</w:t>
      </w:r>
      <w:r>
        <w:rPr>
          <w:rFonts w:ascii="ArialMT" w:hAnsi="ArialMT" w:cs="ArialMT"/>
          <w:b/>
          <w:bCs/>
          <w:vanish/>
          <w:color w:val="0000FF"/>
          <w:sz w:val="20"/>
          <w:szCs w:val="20"/>
        </w:rPr>
        <w:br/>
        <w:t>**********************************************************************************************************</w:t>
      </w:r>
    </w:p>
    <w:p w14:paraId="3DDAFE8E"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15645080"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4470F9D8"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3D2DA7EA"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1B8F8AAF"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6CC82AC5"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561DC78B"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4F7D02A0"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that are do not meet the conventional construction parameters in UFC 4-010-01,Table 2-3 or that are not listed in UFC 4-010-01, Table B-2.  See the following table[s] for design impulse and pressure loading parameters.</w:t>
      </w:r>
    </w:p>
    <w:p w14:paraId="09DA99E2"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DB5EED" w14:paraId="43E97271" w14:textId="77777777" w:rsidTr="00422762">
        <w:tc>
          <w:tcPr>
            <w:tcW w:w="814" w:type="dxa"/>
          </w:tcPr>
          <w:p w14:paraId="224E19D7"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2942236D"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6955C9A9"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1B265A06"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295854CC"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3CB9EDED"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DB5EED" w14:paraId="26298F47" w14:textId="77777777" w:rsidTr="00422762">
        <w:tc>
          <w:tcPr>
            <w:tcW w:w="814" w:type="dxa"/>
          </w:tcPr>
          <w:p w14:paraId="6DD82E9E"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19814DE0"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10954233"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49195E5E"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6D460CB2"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3361EC9F"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4EBF4F3A"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1C4F3824"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DB5EED" w14:paraId="37CE14EF" w14:textId="77777777" w:rsidTr="00422762">
        <w:tc>
          <w:tcPr>
            <w:tcW w:w="814" w:type="dxa"/>
          </w:tcPr>
          <w:p w14:paraId="236A543C"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383" w:type="dxa"/>
          </w:tcPr>
          <w:p w14:paraId="412E598A"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073" w:type="dxa"/>
          </w:tcPr>
          <w:p w14:paraId="2A2DD182"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927" w:type="dxa"/>
          </w:tcPr>
          <w:p w14:paraId="3ACB41EB"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188" w:type="dxa"/>
          </w:tcPr>
          <w:p w14:paraId="22AC981C"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032" w:type="dxa"/>
          </w:tcPr>
          <w:p w14:paraId="52542570"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128" w:type="dxa"/>
          </w:tcPr>
          <w:p w14:paraId="012D2D88"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165" w:type="dxa"/>
          </w:tcPr>
          <w:p w14:paraId="3D3866D7" w14:textId="77777777" w:rsidR="00DB5EED" w:rsidRDefault="00DB5EED" w:rsidP="00422762">
            <w:pPr>
              <w:widowControl w:val="0"/>
              <w:autoSpaceDE w:val="0"/>
              <w:autoSpaceDN w:val="0"/>
              <w:adjustRightInd w:val="0"/>
              <w:spacing w:after="240"/>
              <w:rPr>
                <w:rFonts w:ascii="ArialMT" w:hAnsi="ArialMT" w:cs="ArialMT"/>
                <w:sz w:val="20"/>
                <w:szCs w:val="20"/>
              </w:rPr>
            </w:pPr>
          </w:p>
        </w:tc>
      </w:tr>
      <w:bookmarkEnd w:id="0"/>
    </w:tbl>
    <w:p w14:paraId="7805D70F" w14:textId="77777777" w:rsidR="00DB5EED" w:rsidRDefault="00DB5EED">
      <w:pPr>
        <w:widowControl w:val="0"/>
        <w:autoSpaceDE w:val="0"/>
        <w:autoSpaceDN w:val="0"/>
        <w:adjustRightInd w:val="0"/>
        <w:spacing w:after="240" w:line="240" w:lineRule="auto"/>
        <w:ind w:left="640"/>
        <w:rPr>
          <w:rFonts w:ascii="ArialMT" w:hAnsi="ArialMT" w:cs="ArialMT"/>
          <w:sz w:val="20"/>
          <w:szCs w:val="20"/>
        </w:rPr>
      </w:pPr>
    </w:p>
    <w:p w14:paraId="13184A2C"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DB5EED" w14:paraId="7E519B60" w14:textId="77777777" w:rsidTr="00422762">
        <w:tc>
          <w:tcPr>
            <w:tcW w:w="814" w:type="dxa"/>
          </w:tcPr>
          <w:p w14:paraId="25E226DE"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6FF9E4EB"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60CFF624"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2522BD23"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40BEBD6F"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70761D5E"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DB5EED" w14:paraId="368600B5" w14:textId="77777777" w:rsidTr="00422762">
        <w:tc>
          <w:tcPr>
            <w:tcW w:w="814" w:type="dxa"/>
          </w:tcPr>
          <w:p w14:paraId="1BC2B860"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lastRenderedPageBreak/>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1827F027"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4F34C143"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35E710EA"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7C80B839"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71284D07"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321FFC28"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101952B1" w14:textId="77777777" w:rsidR="00DB5EED" w:rsidRPr="00606C3C" w:rsidRDefault="00DB5EED"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DB5EED" w14:paraId="6F659580" w14:textId="77777777" w:rsidTr="00422762">
        <w:tc>
          <w:tcPr>
            <w:tcW w:w="814" w:type="dxa"/>
          </w:tcPr>
          <w:p w14:paraId="4DD5E044"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383" w:type="dxa"/>
          </w:tcPr>
          <w:p w14:paraId="2109799B"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073" w:type="dxa"/>
          </w:tcPr>
          <w:p w14:paraId="038AEE2D"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927" w:type="dxa"/>
          </w:tcPr>
          <w:p w14:paraId="03DFF70A"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188" w:type="dxa"/>
          </w:tcPr>
          <w:p w14:paraId="4214E112"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032" w:type="dxa"/>
          </w:tcPr>
          <w:p w14:paraId="360B5059"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128" w:type="dxa"/>
          </w:tcPr>
          <w:p w14:paraId="6B1633E1" w14:textId="77777777" w:rsidR="00DB5EED" w:rsidRDefault="00DB5EED" w:rsidP="00422762">
            <w:pPr>
              <w:widowControl w:val="0"/>
              <w:autoSpaceDE w:val="0"/>
              <w:autoSpaceDN w:val="0"/>
              <w:adjustRightInd w:val="0"/>
              <w:spacing w:after="240"/>
              <w:rPr>
                <w:rFonts w:ascii="ArialMT" w:hAnsi="ArialMT" w:cs="ArialMT"/>
                <w:sz w:val="20"/>
                <w:szCs w:val="20"/>
              </w:rPr>
            </w:pPr>
          </w:p>
        </w:tc>
        <w:tc>
          <w:tcPr>
            <w:tcW w:w="1165" w:type="dxa"/>
          </w:tcPr>
          <w:p w14:paraId="4DD13EDD" w14:textId="77777777" w:rsidR="00DB5EED" w:rsidRDefault="00DB5EED" w:rsidP="00422762">
            <w:pPr>
              <w:widowControl w:val="0"/>
              <w:autoSpaceDE w:val="0"/>
              <w:autoSpaceDN w:val="0"/>
              <w:adjustRightInd w:val="0"/>
              <w:spacing w:after="240"/>
              <w:rPr>
                <w:rFonts w:ascii="ArialMT" w:hAnsi="ArialMT" w:cs="ArialMT"/>
                <w:sz w:val="20"/>
                <w:szCs w:val="20"/>
              </w:rPr>
            </w:pPr>
          </w:p>
        </w:tc>
      </w:tr>
    </w:tbl>
    <w:p w14:paraId="27253AF3" w14:textId="77777777" w:rsidR="00DB5EED" w:rsidRDefault="00DB5EED">
      <w:pPr>
        <w:widowControl w:val="0"/>
        <w:autoSpaceDE w:val="0"/>
        <w:autoSpaceDN w:val="0"/>
        <w:adjustRightInd w:val="0"/>
        <w:spacing w:after="240" w:line="240" w:lineRule="auto"/>
        <w:ind w:left="640"/>
        <w:rPr>
          <w:rFonts w:ascii="ArialMT" w:hAnsi="ArialMT" w:cs="ArialMT"/>
          <w:sz w:val="20"/>
          <w:szCs w:val="20"/>
        </w:rPr>
      </w:pPr>
    </w:p>
    <w:p w14:paraId="5A534209"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4719313B"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DB5EED">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2C8275BB"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23EB63D9"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1862384D"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0B16ABDB"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7FCBA7C7"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D10, CONVEYING]</w:t>
      </w:r>
    </w:p>
    <w:p w14:paraId="42F0787A"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1E4AAB7A"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31A121EA" w14:textId="77777777" w:rsidR="00402FE1" w:rsidRDefault="00402FE1" w:rsidP="00DB5EED">
      <w:pPr>
        <w:widowControl w:val="0"/>
        <w:autoSpaceDE w:val="0"/>
        <w:autoSpaceDN w:val="0"/>
        <w:adjustRightInd w:val="0"/>
        <w:spacing w:after="240" w:line="240" w:lineRule="auto"/>
        <w:rPr>
          <w:rFonts w:ascii="ArialMT" w:hAnsi="ArialMT" w:cs="ArialMT"/>
          <w:sz w:val="20"/>
          <w:szCs w:val="20"/>
        </w:rPr>
      </w:pPr>
    </w:p>
    <w:p w14:paraId="0D9EE980"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2.4 Appropriate Design </w:t>
      </w:r>
    </w:p>
    <w:p w14:paraId="24707EA9"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preparer of the 1391 or the 1391 and the RFP will conduct a Market Study and Economic Analysis to determine the parameters for the project design.  The Economic Analysis will include financing alternatives such as Milcon or a form of public-private venture.  Make this decision prior to the issuing of the 1391, or the Contractor will include an offer of an alternative financing arrangement to the government as part of their proposal.  The </w:t>
      </w:r>
      <w:r w:rsidR="00DB5EED">
        <w:rPr>
          <w:rFonts w:ascii="ArialMT" w:hAnsi="ArialMT" w:cs="ArialMT"/>
          <w:b/>
          <w:bCs/>
          <w:vanish/>
          <w:color w:val="0000FF"/>
          <w:sz w:val="20"/>
          <w:szCs w:val="20"/>
        </w:rPr>
        <w:t>decision</w:t>
      </w:r>
      <w:r>
        <w:rPr>
          <w:rFonts w:ascii="ArialMT" w:hAnsi="ArialMT" w:cs="ArialMT"/>
          <w:b/>
          <w:bCs/>
          <w:vanish/>
          <w:color w:val="0000FF"/>
          <w:sz w:val="20"/>
          <w:szCs w:val="20"/>
        </w:rPr>
        <w:t xml:space="preserve"> to use Milcon or BH public private venture acquisition is held at CNIC/NAVFAC and OPNAV/SECNAV level.</w:t>
      </w:r>
    </w:p>
    <w:p w14:paraId="0AB7E4DA"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4BD32F4D"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For Historic Projects include project specific information here for Historic Preservation or National Capital Planning Commission requirements in this paragraph.  Coordinate this information with the submission requirements in Part 2 Section 01 33 10.05 20, Design Submittal Procedures, FC 1-300-09N, Navy and Marine Corps Design Procedures and UFC 3-810-01N, Navy and Marine Corps Environmental Engineering for Facility Construction.</w:t>
      </w:r>
      <w:r>
        <w:rPr>
          <w:rFonts w:ascii="ArialMT" w:hAnsi="ArialMT" w:cs="ArialMT"/>
          <w:b/>
          <w:bCs/>
          <w:vanish/>
          <w:color w:val="0000FF"/>
          <w:sz w:val="20"/>
          <w:szCs w:val="20"/>
        </w:rPr>
        <w:br/>
      </w:r>
      <w:r>
        <w:rPr>
          <w:rFonts w:ascii="ArialMT" w:hAnsi="ArialMT" w:cs="ArialMT"/>
          <w:b/>
          <w:bCs/>
          <w:vanish/>
          <w:color w:val="0000FF"/>
          <w:sz w:val="20"/>
          <w:szCs w:val="20"/>
        </w:rPr>
        <w:br/>
        <w:t>**********************************************************************************************************</w:t>
      </w:r>
    </w:p>
    <w:p w14:paraId="7FCA67F9"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1303B4D8"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2.4.1 Market Study </w:t>
      </w:r>
    </w:p>
    <w:p w14:paraId="103D7FD7"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Here place the Market Study (or a link to the web-based document).  The market study will discuss the local/regional design solutions and their impact on the development of the DoD Form 1391.  Provide a description of the appropriate level of architectural refinement including building type, character, style, historic, and economic considerations, as based on the Market Study.  Describe the special scale, exterior and interior finishes, materials, and level of trim that are required for architectural significance.</w:t>
      </w:r>
      <w:r>
        <w:rPr>
          <w:rFonts w:ascii="ArialMT" w:hAnsi="ArialMT" w:cs="ArialMT"/>
          <w:b/>
          <w:bCs/>
          <w:vanish/>
          <w:color w:val="0000FF"/>
          <w:sz w:val="20"/>
          <w:szCs w:val="20"/>
        </w:rPr>
        <w:br/>
        <w:t>**********************************************************************************************************</w:t>
      </w:r>
    </w:p>
    <w:p w14:paraId="225E0584"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0C066B74"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2.4.2 Building Form and Exterior Appearance </w:t>
      </w:r>
    </w:p>
    <w:p w14:paraId="6D54F417"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sz w:val="28"/>
          <w:szCs w:val="28"/>
        </w:rPr>
        <w:br/>
      </w:r>
      <w:r>
        <w:rPr>
          <w:rFonts w:ascii="ArialMT" w:hAnsi="ArialMT" w:cs="ArialMT"/>
          <w:b/>
          <w:bCs/>
          <w:sz w:val="28"/>
          <w:szCs w:val="28"/>
        </w:rPr>
        <w:t xml:space="preserve">   2.4.3 Interior Finishes </w:t>
      </w:r>
    </w:p>
    <w:p w14:paraId="6F2503F9"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For Historic Projects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project specific information here for Historic Preservation or National Capital Planning Commission requirements in this paragraph.  Coordinate this information with the submission requirements in Part 2 Section 01 33 10.05 20, Design Submittal Procedures and FC 1-300-09N, Navy and Marine Corps Design Procedures.</w:t>
      </w:r>
      <w:r>
        <w:rPr>
          <w:rFonts w:ascii="ArialMT" w:hAnsi="ArialMT" w:cs="ArialMT"/>
          <w:b/>
          <w:bCs/>
          <w:vanish/>
          <w:color w:val="0000FF"/>
          <w:sz w:val="20"/>
          <w:szCs w:val="20"/>
        </w:rPr>
        <w:br/>
        <w:t>**********************************************************************************************************</w:t>
      </w:r>
    </w:p>
    <w:p w14:paraId="7A165DC4"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47182136"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project-type UFC exists for this facility type, include the following sentence and insert the applicable UFC number and title.</w:t>
      </w:r>
      <w:r>
        <w:rPr>
          <w:rFonts w:ascii="ArialMT" w:hAnsi="ArialMT" w:cs="ArialMT"/>
          <w:b/>
          <w:bCs/>
          <w:vanish/>
          <w:color w:val="0000FF"/>
          <w:sz w:val="20"/>
          <w:szCs w:val="20"/>
        </w:rPr>
        <w:br/>
        <w:t>**********************************************************************************************************</w:t>
      </w:r>
    </w:p>
    <w:p w14:paraId="03BEFBF3"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50D438E5"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Government is interested in a best value proposal that supports the functional needs of the user and activity.  The levels of quality and durability specified shall be responsive to the function, mission effectiveness, and cost effectiveness of a strategically important and high use military facility expected to provide many years of service.</w:t>
      </w:r>
    </w:p>
    <w:p w14:paraId="78979C0E"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4-721-10, </w:t>
      </w:r>
      <w:r>
        <w:rPr>
          <w:rFonts w:ascii="ArialMT" w:hAnsi="ArialMT" w:cs="ArialMT"/>
          <w:i/>
          <w:iCs/>
          <w:sz w:val="20"/>
          <w:szCs w:val="20"/>
        </w:rPr>
        <w:t xml:space="preserve">Bachelor Housing </w:t>
      </w:r>
      <w:r>
        <w:rPr>
          <w:rFonts w:ascii="ArialMT" w:hAnsi="ArialMT" w:cs="ArialMT"/>
          <w:sz w:val="20"/>
          <w:szCs w:val="20"/>
        </w:rPr>
        <w:t>for planning and design requirements for this project.</w:t>
      </w:r>
    </w:p>
    <w:p w14:paraId="6B4AB062"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2B5D7DA3"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Describe the use patterns of the occupants of the facility. Include the staffing and Hours of Operation.</w:t>
      </w:r>
      <w:r>
        <w:rPr>
          <w:rFonts w:ascii="ArialMT" w:hAnsi="ArialMT" w:cs="ArialMT"/>
          <w:b/>
          <w:bCs/>
          <w:vanish/>
          <w:color w:val="0000FF"/>
          <w:sz w:val="20"/>
          <w:szCs w:val="20"/>
        </w:rPr>
        <w:br/>
        <w:t>**********************************************************************************************************</w:t>
      </w:r>
    </w:p>
    <w:p w14:paraId="3CA9AE8E"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549A5D58"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Of Operation </w:t>
      </w:r>
    </w:p>
    <w:p w14:paraId="40FBD80E"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The building will operate its administrative functions and recreational amenities based on the custom of the local market.  Access to the apartments will operate on a 24/7 basis. </w:t>
      </w:r>
    </w:p>
    <w:p w14:paraId="189C57D2"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2.5.2 Staffing/Occupancy </w:t>
      </w:r>
    </w:p>
    <w:p w14:paraId="40E1D8BF"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The number of occupants specified in the RFP are identified for programming purposes. Determine occupancy used to design building features, such as structural, egress, and plumbing fixtures as required in applicable building or life safety codes.</w:t>
      </w:r>
    </w:p>
    <w:p w14:paraId="3344FFD6"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Table is Optional. Staffing could be described in words.</w:t>
      </w:r>
      <w:r>
        <w:rPr>
          <w:rFonts w:ascii="ArialMT" w:hAnsi="ArialMT" w:cs="ArialMT"/>
          <w:b/>
          <w:bCs/>
          <w:vanish/>
          <w:color w:val="0000FF"/>
          <w:sz w:val="20"/>
          <w:szCs w:val="20"/>
        </w:rPr>
        <w:br/>
        <w:t>**********************************************************************************************************</w:t>
      </w:r>
    </w:p>
    <w:p w14:paraId="79179685" w14:textId="77777777" w:rsidR="00402FE1" w:rsidRDefault="00402FE1">
      <w:pPr>
        <w:widowControl w:val="0"/>
        <w:autoSpaceDE w:val="0"/>
        <w:autoSpaceDN w:val="0"/>
        <w:adjustRightInd w:val="0"/>
        <w:spacing w:after="0" w:line="240" w:lineRule="auto"/>
        <w:rPr>
          <w:rFonts w:ascii="ArialMT" w:hAnsi="ArialMT" w:cs="ArialMT"/>
          <w:vanish/>
          <w:sz w:val="20"/>
          <w:szCs w:val="20"/>
        </w:rPr>
      </w:pPr>
    </w:p>
    <w:tbl>
      <w:tblPr>
        <w:tblW w:w="0" w:type="auto"/>
        <w:tblInd w:w="648" w:type="dxa"/>
        <w:tblCellMar>
          <w:left w:w="0" w:type="dxa"/>
          <w:right w:w="0" w:type="dxa"/>
        </w:tblCellMar>
        <w:tblLook w:val="0000" w:firstRow="0" w:lastRow="0" w:firstColumn="0" w:lastColumn="0" w:noHBand="0" w:noVBand="0"/>
      </w:tblPr>
      <w:tblGrid>
        <w:gridCol w:w="2240"/>
        <w:gridCol w:w="2880"/>
        <w:gridCol w:w="2880"/>
      </w:tblGrid>
      <w:tr w:rsidR="00402FE1" w:rsidRPr="00DB5EED" w14:paraId="4AA6D675"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18F66E18" w14:textId="77777777" w:rsidR="00402FE1" w:rsidRPr="00DB5EED" w:rsidRDefault="00402FE1" w:rsidP="00DB5EED">
            <w:pPr>
              <w:widowControl w:val="0"/>
              <w:autoSpaceDE w:val="0"/>
              <w:autoSpaceDN w:val="0"/>
              <w:adjustRightInd w:val="0"/>
              <w:spacing w:after="0" w:line="240" w:lineRule="auto"/>
              <w:jc w:val="center"/>
              <w:rPr>
                <w:rFonts w:ascii="ArialMT" w:hAnsi="ArialMT" w:cs="ArialMT"/>
                <w:b/>
                <w:sz w:val="32"/>
                <w:szCs w:val="32"/>
              </w:rPr>
            </w:pPr>
            <w:r w:rsidRPr="00DB5EED">
              <w:rPr>
                <w:rFonts w:ascii="ArialMT" w:hAnsi="ArialMT" w:cs="ArialMT"/>
                <w:b/>
                <w:sz w:val="20"/>
                <w:szCs w:val="20"/>
              </w:rPr>
              <w:t>Type of Occupancy</w:t>
            </w:r>
            <w:r w:rsidRPr="00DB5EED">
              <w:rPr>
                <w:rFonts w:ascii="ArialMT" w:hAnsi="ArialMT" w:cs="ArialMT"/>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0EA5946" w14:textId="77777777" w:rsidR="00402FE1" w:rsidRPr="00DB5EED" w:rsidRDefault="00402FE1" w:rsidP="00DB5EED">
            <w:pPr>
              <w:widowControl w:val="0"/>
              <w:autoSpaceDE w:val="0"/>
              <w:autoSpaceDN w:val="0"/>
              <w:adjustRightInd w:val="0"/>
              <w:spacing w:after="0" w:line="240" w:lineRule="auto"/>
              <w:jc w:val="center"/>
              <w:rPr>
                <w:rFonts w:ascii="ArialMT" w:hAnsi="ArialMT" w:cs="ArialMT"/>
                <w:b/>
                <w:sz w:val="32"/>
                <w:szCs w:val="32"/>
              </w:rPr>
            </w:pPr>
            <w:r w:rsidRPr="00DB5EED">
              <w:rPr>
                <w:rFonts w:ascii="ArialMT" w:hAnsi="ArialMT" w:cs="ArialMT"/>
                <w:b/>
                <w:sz w:val="20"/>
                <w:szCs w:val="20"/>
              </w:rPr>
              <w:t>No. of Persons</w:t>
            </w:r>
            <w:r w:rsidRPr="00DB5EED">
              <w:rPr>
                <w:rFonts w:ascii="ArialMT" w:hAnsi="ArialMT" w:cs="ArialMT"/>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96FA200" w14:textId="77777777" w:rsidR="00402FE1" w:rsidRPr="00DB5EED" w:rsidRDefault="00402FE1" w:rsidP="00DB5EED">
            <w:pPr>
              <w:widowControl w:val="0"/>
              <w:autoSpaceDE w:val="0"/>
              <w:autoSpaceDN w:val="0"/>
              <w:adjustRightInd w:val="0"/>
              <w:spacing w:after="0" w:line="240" w:lineRule="auto"/>
              <w:jc w:val="center"/>
              <w:rPr>
                <w:rFonts w:ascii="ArialMT" w:hAnsi="ArialMT" w:cs="ArialMT"/>
                <w:b/>
                <w:sz w:val="32"/>
                <w:szCs w:val="32"/>
              </w:rPr>
            </w:pPr>
            <w:r w:rsidRPr="00DB5EED">
              <w:rPr>
                <w:rFonts w:ascii="ArialMT" w:hAnsi="ArialMT" w:cs="ArialMT"/>
                <w:b/>
                <w:sz w:val="20"/>
                <w:szCs w:val="20"/>
              </w:rPr>
              <w:t>Description of Activity</w:t>
            </w:r>
            <w:r w:rsidRPr="00DB5EED">
              <w:rPr>
                <w:rFonts w:ascii="ArialMT" w:hAnsi="ArialMT" w:cs="ArialMT"/>
                <w:b/>
                <w:sz w:val="20"/>
                <w:szCs w:val="20"/>
              </w:rPr>
              <w:br/>
            </w:r>
          </w:p>
        </w:tc>
      </w:tr>
      <w:tr w:rsidR="00402FE1" w14:paraId="2CB99EE8"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7D7E151A" w14:textId="77777777" w:rsidR="00402FE1" w:rsidRDefault="00402FE1">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Administration</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FC750A"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3</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822DE5E"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Office Administration</w:t>
            </w:r>
            <w:r>
              <w:rPr>
                <w:rFonts w:ascii="ArialMT" w:hAnsi="ArialMT" w:cs="ArialMT"/>
                <w:sz w:val="20"/>
                <w:szCs w:val="20"/>
              </w:rPr>
              <w:br/>
            </w:r>
          </w:p>
        </w:tc>
      </w:tr>
      <w:tr w:rsidR="00402FE1" w14:paraId="5A14AA28"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6811ED31" w14:textId="77777777" w:rsidR="00402FE1" w:rsidRDefault="00402FE1">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Custodial</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2C55283"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6FB19AC"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r w:rsidR="00402FE1" w14:paraId="4073627B"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65D0B617" w14:textId="77777777" w:rsidR="00402FE1" w:rsidRDefault="00402FE1">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Maintenance - indoor</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2E69056"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1</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23BF003"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r w:rsidR="00402FE1" w14:paraId="76D815BF"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2595D5C9" w14:textId="77777777" w:rsidR="00402FE1" w:rsidRDefault="00402FE1">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Maintenance - outdoor</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0375657"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2</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5F804AC"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r w:rsidR="00402FE1" w14:paraId="783CD84A" w14:textId="77777777">
        <w:tblPrEx>
          <w:tblCellMar>
            <w:top w:w="0" w:type="dxa"/>
            <w:left w:w="0" w:type="dxa"/>
            <w:bottom w:w="0" w:type="dxa"/>
            <w:right w:w="0" w:type="dxa"/>
          </w:tblCellMar>
        </w:tblPrEx>
        <w:tc>
          <w:tcPr>
            <w:tcW w:w="2240" w:type="dxa"/>
            <w:tcBorders>
              <w:top w:val="single" w:sz="6" w:space="0" w:color="auto"/>
              <w:left w:val="single" w:sz="6" w:space="0" w:color="auto"/>
              <w:bottom w:val="single" w:sz="6" w:space="0" w:color="auto"/>
              <w:right w:val="single" w:sz="6" w:space="0" w:color="auto"/>
            </w:tcBorders>
          </w:tcPr>
          <w:p w14:paraId="5AC731C0" w14:textId="77777777" w:rsidR="00402FE1" w:rsidRDefault="00402FE1">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Maximum Occupancy</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6CC8C36"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t>8</w:t>
            </w:r>
            <w:r>
              <w:rPr>
                <w:rFonts w:ascii="ArialMT" w:hAnsi="ArialMT" w:cs="ArialMT"/>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02BB7F4" w14:textId="77777777" w:rsidR="00402FE1" w:rsidRDefault="00402FE1" w:rsidP="00DB5EED">
            <w:pPr>
              <w:widowControl w:val="0"/>
              <w:autoSpaceDE w:val="0"/>
              <w:autoSpaceDN w:val="0"/>
              <w:adjustRightInd w:val="0"/>
              <w:spacing w:after="0" w:line="240" w:lineRule="auto"/>
              <w:jc w:val="center"/>
              <w:rPr>
                <w:rFonts w:ascii="ArialMT" w:hAnsi="ArialMT" w:cs="ArialMT"/>
                <w:sz w:val="32"/>
                <w:szCs w:val="32"/>
              </w:rPr>
            </w:pPr>
            <w:r>
              <w:rPr>
                <w:rFonts w:ascii="ArialMT" w:hAnsi="ArialMT" w:cs="ArialMT"/>
                <w:sz w:val="20"/>
                <w:szCs w:val="20"/>
              </w:rPr>
              <w:br/>
            </w:r>
          </w:p>
        </w:tc>
      </w:tr>
    </w:tbl>
    <w:p w14:paraId="5142881E"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sz w:val="32"/>
          <w:szCs w:val="32"/>
        </w:rPr>
        <w:br/>
      </w:r>
      <w:r>
        <w:rPr>
          <w:rFonts w:ascii="ArialMT" w:hAnsi="ArialMT" w:cs="ArialMT"/>
          <w:sz w:val="32"/>
          <w:szCs w:val="32"/>
        </w:rPr>
        <w:br/>
      </w:r>
      <w:r>
        <w:rPr>
          <w:rFonts w:ascii="ArialMT" w:hAnsi="ArialMT" w:cs="ArialMT"/>
          <w:b/>
          <w:bCs/>
          <w:sz w:val="28"/>
          <w:szCs w:val="28"/>
        </w:rPr>
        <w:t xml:space="preserve">2.6 Special Design Challenges </w:t>
      </w:r>
    </w:p>
    <w:p w14:paraId="006CBCD8"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66956B0E"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0D38E7F5"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5B276836"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11D5C107"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phasing is a project requirement, especially where necessary to allow continuing operations of a facility, indicate phasing requirements here.  Require Contractor to submit a detailed phasing plan with the design </w:t>
      </w:r>
      <w:r w:rsidR="00DB5EED">
        <w:rPr>
          <w:rFonts w:ascii="ArialMT" w:hAnsi="ArialMT" w:cs="ArialMT"/>
          <w:b/>
          <w:bCs/>
          <w:vanish/>
          <w:color w:val="0000FF"/>
          <w:sz w:val="20"/>
          <w:szCs w:val="20"/>
        </w:rPr>
        <w:t>submittal</w:t>
      </w:r>
      <w:r>
        <w:rPr>
          <w:rFonts w:ascii="ArialMT" w:hAnsi="ArialMT" w:cs="ArialMT"/>
          <w:b/>
          <w:bCs/>
          <w:vanish/>
          <w:color w:val="0000FF"/>
          <w:sz w:val="20"/>
          <w:szCs w:val="20"/>
        </w:rPr>
        <w:t xml:space="preserve"> for Government approval.</w:t>
      </w:r>
      <w:r>
        <w:rPr>
          <w:rFonts w:ascii="ArialMT" w:hAnsi="ArialMT" w:cs="ArialMT"/>
          <w:b/>
          <w:bCs/>
          <w:vanish/>
          <w:color w:val="0000FF"/>
          <w:sz w:val="20"/>
          <w:szCs w:val="20"/>
        </w:rPr>
        <w:br/>
        <w:t>**********************************************************************************************************</w:t>
      </w:r>
    </w:p>
    <w:p w14:paraId="505AE21D"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49A151B2"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4CC7E75D"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2C03C27D" w14:textId="77777777" w:rsidR="00402FE1" w:rsidRDefault="00402FE1">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And Flexibility </w:t>
      </w:r>
    </w:p>
    <w:p w14:paraId="2748F7E0" w14:textId="77777777" w:rsidR="00402FE1" w:rsidRDefault="00402FE1">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If required, describe any need for flexibility for change of use or any adaptability for future expansion.</w:t>
      </w:r>
      <w:r>
        <w:rPr>
          <w:rFonts w:ascii="ArialMT" w:hAnsi="ArialMT" w:cs="ArialMT"/>
          <w:b/>
          <w:bCs/>
          <w:vanish/>
          <w:color w:val="0000FF"/>
          <w:sz w:val="20"/>
          <w:szCs w:val="20"/>
        </w:rPr>
        <w:br/>
        <w:t>**********************************************************************************************************</w:t>
      </w:r>
    </w:p>
    <w:p w14:paraId="355A0446" w14:textId="77777777" w:rsidR="00402FE1" w:rsidRDefault="00402FE1">
      <w:pPr>
        <w:widowControl w:val="0"/>
        <w:autoSpaceDE w:val="0"/>
        <w:autoSpaceDN w:val="0"/>
        <w:adjustRightInd w:val="0"/>
        <w:spacing w:after="0" w:line="240" w:lineRule="auto"/>
        <w:rPr>
          <w:rFonts w:ascii="ArialMT" w:hAnsi="ArialMT" w:cs="ArialMT"/>
          <w:vanish/>
          <w:sz w:val="20"/>
          <w:szCs w:val="20"/>
        </w:rPr>
      </w:pPr>
    </w:p>
    <w:p w14:paraId="5962B83C" w14:textId="77777777" w:rsidR="00402FE1" w:rsidRDefault="00402FE1">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[Though there will be no mobility impaired accessible apartments in the project, prepare [  %] [number] of the apartments on [the lowest] [each] floor to be adaptable for ABA Accessibility Standards mobility impaired units and [  %] number of apartments on each floor to be communication impaired units.]</w:t>
      </w:r>
      <w:r>
        <w:rPr>
          <w:rFonts w:ascii="ArialMT" w:hAnsi="ArialMT" w:cs="ArialMT"/>
          <w:sz w:val="20"/>
          <w:szCs w:val="20"/>
        </w:rPr>
        <w:br/>
      </w:r>
      <w:r>
        <w:rPr>
          <w:rFonts w:ascii="ArialMT" w:hAnsi="ArialMT" w:cs="ArialMT"/>
          <w:sz w:val="20"/>
          <w:szCs w:val="20"/>
        </w:rPr>
        <w:br/>
        <w:t>[Design the project so that there can be a future addition of [number] of apartments and POV parking spaces on the project site.</w:t>
      </w:r>
    </w:p>
    <w:sectPr w:rsidR="00402FE1">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5C339" w14:textId="77777777" w:rsidR="00736703" w:rsidRDefault="00736703">
      <w:pPr>
        <w:spacing w:after="0" w:line="240" w:lineRule="auto"/>
      </w:pPr>
      <w:r>
        <w:separator/>
      </w:r>
    </w:p>
  </w:endnote>
  <w:endnote w:type="continuationSeparator" w:id="0">
    <w:p w14:paraId="2ED91532" w14:textId="77777777" w:rsidR="00736703" w:rsidRDefault="00736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C0582" w14:textId="77777777" w:rsidR="00402FE1" w:rsidRDefault="00402FE1">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E37C2" w14:textId="77777777" w:rsidR="00736703" w:rsidRDefault="00736703">
      <w:pPr>
        <w:spacing w:after="0" w:line="240" w:lineRule="auto"/>
      </w:pPr>
      <w:r>
        <w:separator/>
      </w:r>
    </w:p>
  </w:footnote>
  <w:footnote w:type="continuationSeparator" w:id="0">
    <w:p w14:paraId="42CB7649" w14:textId="77777777" w:rsidR="00736703" w:rsidRDefault="00736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0D993" w14:textId="77777777" w:rsidR="00402FE1" w:rsidRDefault="00402FE1">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Market Style BEQ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EED"/>
    <w:rsid w:val="00402FE1"/>
    <w:rsid w:val="00412A40"/>
    <w:rsid w:val="00422762"/>
    <w:rsid w:val="00606C3C"/>
    <w:rsid w:val="00736703"/>
    <w:rsid w:val="00DB5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54AD99"/>
  <w14:defaultImageDpi w14:val="0"/>
  <w15:docId w15:val="{6205D43E-D8F5-4F34-AE7A-3DB0223AD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5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3412</Words>
  <Characters>19455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2024-06-24T17:56:00Z</dcterms:created>
  <dcterms:modified xsi:type="dcterms:W3CDTF">2024-06-24T17:56:00Z</dcterms:modified>
  <cp:category>Design Build</cp:category>
</cp:coreProperties>
</file>