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2765C5" w14:textId="77777777" w:rsidR="00734A3C" w:rsidRDefault="00734A3C">
      <w:pPr>
        <w:widowControl w:val="0"/>
        <w:autoSpaceDE w:val="0"/>
        <w:autoSpaceDN w:val="0"/>
        <w:adjustRightInd w:val="0"/>
        <w:spacing w:after="0" w:line="240" w:lineRule="auto"/>
        <w:rPr>
          <w:rFonts w:ascii="Times New Roman" w:hAnsi="Times New Roman"/>
          <w:sz w:val="24"/>
          <w:szCs w:val="24"/>
        </w:rPr>
      </w:pPr>
    </w:p>
    <w:p w14:paraId="1F77FAE7" w14:textId="77777777" w:rsidR="00734A3C" w:rsidRDefault="00734A3C">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8E13C92" w14:textId="77777777" w:rsidR="00734A3C" w:rsidRDefault="00734A3C">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D30 HVAC </w:t>
      </w:r>
    </w:p>
    <w:p w14:paraId="53DD7FE9"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HVAC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D30-HVAC. Text such as this is hidden text that will not print when the hidden text box in "Print/Options" is un-checked.</w:t>
      </w:r>
    </w:p>
    <w:p w14:paraId="7380E36F"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32A218B4"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The Mechanical Team Member is the person responsible for editing and developing the Mechanical content of the RFP.</w:t>
      </w:r>
      <w:r>
        <w:rPr>
          <w:rFonts w:ascii="ArialMT" w:hAnsi="ArialMT" w:cs="ArialMT"/>
          <w:b/>
          <w:bCs/>
          <w:vanish/>
          <w:color w:val="0000FF"/>
          <w:sz w:val="20"/>
          <w:szCs w:val="20"/>
        </w:rPr>
        <w:br/>
      </w:r>
      <w:r>
        <w:rPr>
          <w:rFonts w:ascii="ArialMT" w:hAnsi="ArialMT" w:cs="ArialMT"/>
          <w:b/>
          <w:bCs/>
          <w:vanish/>
          <w:color w:val="0000FF"/>
          <w:sz w:val="20"/>
          <w:szCs w:val="20"/>
        </w:rPr>
        <w:br/>
        <w:t xml:space="preserve">The Mechanical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SPECIFICATION SECTION D30 to ensure that performance requirements are provided for all of the Building Elements listed here and that paragraph numbering matches.</w:t>
      </w:r>
    </w:p>
    <w:p w14:paraId="0F9A8324"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35A5B613"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The Mechanical Team Member must coordinate with the Government PM/DM in editing the Design Build RFP Technical Evaluation Factor: Energy Design Reduction of the STANDARD NON-COST/PRICE EVALUATION FACTORS to align with the requirements of the HVAC portion of this RFP Section.</w:t>
      </w:r>
      <w:r>
        <w:rPr>
          <w:rFonts w:ascii="ArialMT" w:hAnsi="ArialMT" w:cs="ArialMT"/>
          <w:b/>
          <w:bCs/>
          <w:vanish/>
          <w:color w:val="0000FF"/>
          <w:sz w:val="20"/>
          <w:szCs w:val="20"/>
        </w:rPr>
        <w:br/>
        <w:t>**********************************************************************************************************</w:t>
      </w:r>
    </w:p>
    <w:p w14:paraId="3146C102"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026735DC"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HVAC component relative to Part 2 UFGS Section 01 33 29, </w:t>
      </w:r>
      <w:r>
        <w:rPr>
          <w:rFonts w:ascii="ArialMT" w:hAnsi="ArialMT" w:cs="ArialMT"/>
          <w:b/>
          <w:bCs/>
          <w:i/>
          <w:iCs/>
          <w:vanish/>
          <w:color w:val="0000FF"/>
          <w:sz w:val="20"/>
          <w:szCs w:val="20"/>
        </w:rPr>
        <w:t xml:space="preserve">Sustainability Requirements and Reporting </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4C89DB04"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5FA3F4BB"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D30 for performance requirements of the building elements included in the HVAC system.</w:t>
      </w:r>
    </w:p>
    <w:p w14:paraId="2FF09755"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for the specific project requirements.  Remember to let the design build A/E design the project.  Keep the requirements general wherever possible while assuring the RFP is biddable.  Check against the real property requirements such as in the DD1391 to capture systems.  If there are any discrepancies between the requirements document and this RFP then inform the government PM/DM.  Do not repeat technical or performance requirements in the RFP.  Check PTS Section D30 for similar requirements and mitigate if found.</w:t>
      </w:r>
    </w:p>
    <w:p w14:paraId="3BEA52D9"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277926CD"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UFC 1-200-02 HIGH PERFORMANCE AND SUSTAINABLE BUILDING REQUIREMENTS paragraph 2-3 OPTIMIZE ENERGY PERFORMANCE selection process for HVAC type(s) must be performed, by the Mechanical Team Member, and approved before RFP release.  This includes the evaluation of alternate HVAC systems for a best value determination.  Specify the system(s), as determined by best value, in this RFP to be provided by the design build contractor.  Include a Government Baseline Building Energy Report in Part 6 of this RFP.  It must contain ASHRAE 90.1 baseline model inputs and model outputs.  This includes but is not limited to schedules for occupancy, envelope, mechanical, and electrical building systems.  An informative guide is included in this DB RFP template under Part six to assist in developing the report.  Coordinate with PTS D30 and the Design Build RFP Technical Evaluation Factor: Energy Design Reduction of the STANDARD NON-COST/PRICE EVALUATION FACTORS</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Select mechanical system based on base/activity requirements and ensure system is life cycle cost effective relative to other systems studied.  RFP editor must partner with the Facilities Engineering Command (FEC) and the Public Works Department (PWD) on life cycle suitability of mechanical systems, along with system Operational, Maintenance, and Support Information (OMSI) requirements.  Consider mechanical systems common to the Public Works Department in an effort to reduce associated maintenance costs.  Select mechanical systems in accordance with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 xml:space="preserve">and UFC 3-401-01 </w:t>
      </w:r>
      <w:r>
        <w:rPr>
          <w:rFonts w:ascii="ArialMT" w:hAnsi="ArialMT" w:cs="ArialMT"/>
          <w:b/>
          <w:bCs/>
          <w:i/>
          <w:iCs/>
          <w:vanish/>
          <w:color w:val="0000FF"/>
          <w:sz w:val="20"/>
          <w:szCs w:val="20"/>
        </w:rPr>
        <w:t>Mechanical Engineering</w:t>
      </w:r>
      <w:r>
        <w:rPr>
          <w:rFonts w:ascii="ArialMT" w:hAnsi="ArialMT" w:cs="ArialMT"/>
          <w:b/>
          <w:bCs/>
          <w:vanish/>
          <w:color w:val="0000FF"/>
          <w:sz w:val="20"/>
          <w:szCs w:val="20"/>
        </w:rPr>
        <w:t xml:space="preserve">and related UFCs.  Consider HVAC strategies for the purpose of maximum energy savings (e.g., VFD's. VAV's, Supply Air Temperature Reset, Demand Controlled Ventilation). </w:t>
      </w:r>
      <w:r>
        <w:rPr>
          <w:rFonts w:ascii="ArialMT" w:hAnsi="ArialMT" w:cs="ArialMT"/>
          <w:b/>
          <w:bCs/>
          <w:vanish/>
          <w:color w:val="0000FF"/>
          <w:sz w:val="20"/>
          <w:szCs w:val="20"/>
        </w:rPr>
        <w:br/>
      </w:r>
      <w:r>
        <w:rPr>
          <w:rFonts w:ascii="ArialMT" w:hAnsi="ArialMT" w:cs="ArialMT"/>
          <w:b/>
          <w:bCs/>
          <w:vanish/>
          <w:color w:val="0000FF"/>
          <w:sz w:val="20"/>
          <w:szCs w:val="20"/>
        </w:rPr>
        <w:br/>
        <w:t>This Model RFP has a general requirements paragraph to capture complete and compliant systems, and examples for three system types that supplement the general paragraph for specific instances that are required to support the HVAC LCCA best value selections and the Public Works Department.  Modify and or replace these examples for the specific requirements of your project.  Modify and/or add technical requirements to Parts 3 and 4 as appropriate.  Do not repeat UFC and/or UFGS technical requirements but do provide product and function selections as needed.  Delete systems and components in the ESR text that are not used.</w:t>
      </w:r>
    </w:p>
    <w:p w14:paraId="6DD24363"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367020A8"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p>
    <w:p w14:paraId="06A191E5"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7F66AEE4"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Explicitly require DOAS(s) when required by UFC 3-410-01 Heating, Ventilating, and Air Conditioning Systems.  Do not explicitly exclude DOAS(s) in any case.</w:t>
      </w:r>
      <w:r>
        <w:rPr>
          <w:rFonts w:ascii="ArialMT" w:hAnsi="ArialMT" w:cs="ArialMT"/>
          <w:b/>
          <w:bCs/>
          <w:vanish/>
          <w:color w:val="0000FF"/>
          <w:sz w:val="20"/>
          <w:szCs w:val="20"/>
        </w:rPr>
        <w:br/>
        <w:t>**********************************************************************************************************</w:t>
      </w:r>
    </w:p>
    <w:p w14:paraId="21506395"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2408FD42"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and usable heating, ventilating and air conditioning (HVAC) systems that attains the following objectives: Occupant comfort, Indoor air quality, Acceptable noise levels, Energy efficiency, Reliable operation, and Ease of maintenance.  Design and install in accordance with UFC 3-401-01 Mechanical Engineering and related UFCs.  These UFCs incorporate provisions of the International Code Council's International Mechanical Code (IMC) and ASHRAE design guidance with supplemental requirements.  Provide BACnet Direct Digital Control for all HVAC system controls.  [Refer to Building Requirements, Space Tabulations Section of the Project Program for building occupancy levels.]</w:t>
      </w:r>
    </w:p>
    <w:p w14:paraId="07E89450"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HVAC system for [Building X] with 2-pipe fan coil indoor units, air-cooled chillers, [central steam] [propane] [natural gas] [oil] fired </w:t>
      </w:r>
      <w:proofErr w:type="gramStart"/>
      <w:r>
        <w:rPr>
          <w:rFonts w:ascii="ArialMT" w:hAnsi="ArialMT" w:cs="ArialMT"/>
          <w:sz w:val="20"/>
          <w:szCs w:val="20"/>
        </w:rPr>
        <w:t>boilers, and</w:t>
      </w:r>
      <w:proofErr w:type="gramEnd"/>
      <w:r>
        <w:rPr>
          <w:rFonts w:ascii="ArialMT" w:hAnsi="ArialMT" w:cs="ArialMT"/>
          <w:sz w:val="20"/>
          <w:szCs w:val="20"/>
        </w:rPr>
        <w:t xml:space="preserve"> dedicated outdoor air system (DOAS) with full exhaust-air heat recovery.  Provide automatic and manual changeover capability for chillers and boilers.  Provide indoor units in each room with temperature control.  Deliver outside air at the required conditions from the DOAS to the inlet of the fan coil units.  DOAS must be a factory-packaged unit that delivers the required conditioned air over the full range of load when the heat recovery either is or is not operating.]</w:t>
      </w:r>
    </w:p>
    <w:p w14:paraId="008E718C"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HVAC system for [Building X and Y] with single duct Variable Air Volume (VAV) hot water reheat series fan powered indoor units, continuous cooling primary air handler units, water-cooled chillers, closed circuit cooling towers and [central steam] [propane] [natural gas] [oil] fired boilers.  Provide indoor units in each room with temperature control.  Primary air handler units must have automatic modulating outdoor air intake control with occupancy sensing in each room.]</w:t>
      </w:r>
    </w:p>
    <w:p w14:paraId="73A6A8FA"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HVAC system for [Building X] with water source heat pumps, [ground-coupled] water loop, closed-circuit cooler, supplemental [central steam] [propane] [natural gas] [oil] fired boilers, and water source dedicated outdoor air system with hot gas reheat and full exhaust-air heat recovery.  Deliver the conditioned outside air at a neutral temperature from the DOAS to the occupied spaces.  DOAS must be a factory-packaged unit that delivers the required conditioned air over the full range of load when the air heat recovery either is or is not operating.</w:t>
      </w:r>
    </w:p>
    <w:p w14:paraId="5BAD6399"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4255A">
        <w:rPr>
          <w:rFonts w:ascii="ArialMT" w:hAnsi="ArialMT" w:cs="ArialMT"/>
          <w:b/>
          <w:bCs/>
          <w:vanish/>
          <w:color w:val="0000FF"/>
          <w:sz w:val="20"/>
          <w:szCs w:val="20"/>
        </w:rPr>
        <w:t xml:space="preserve"> </w:t>
      </w:r>
      <w:r>
        <w:rPr>
          <w:rFonts w:ascii="ArialMT" w:hAnsi="ArialMT" w:cs="ArialMT"/>
          <w:b/>
          <w:bCs/>
          <w:vanish/>
          <w:color w:val="0000FF"/>
          <w:sz w:val="20"/>
          <w:szCs w:val="20"/>
        </w:rPr>
        <w:t>Revise the following as required to identify system choices that should not be used for this facility.  Consider deleting the prohibition on direct expansion VAV systems for applications in the 5,000 to 10,000 square foot (464.5 to 929 square meter) range.  Consider deleting the prohibition on thru-the-wall units in BEQ's, and isolated offices.  Use of thru-the-wall units (e.g., GE Zoneline) is generally required in Navy Lodges.  Economizers are not allowed in humid areas; only provide economizers when recommended by ASHRAE guidelines and standards for the project's weather zones.</w:t>
      </w:r>
      <w:r>
        <w:rPr>
          <w:rFonts w:ascii="ArialMT" w:hAnsi="ArialMT" w:cs="ArialMT"/>
          <w:b/>
          <w:bCs/>
          <w:vanish/>
          <w:color w:val="0000FF"/>
          <w:sz w:val="20"/>
          <w:szCs w:val="20"/>
        </w:rPr>
        <w:br/>
        <w:t xml:space="preserve"> **********************************************************************************************************</w:t>
      </w:r>
    </w:p>
    <w:p w14:paraId="25D2D5CD"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2460DE8F"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[Economizer cycles are not allowed.]</w:t>
      </w:r>
    </w:p>
    <w:p w14:paraId="3346D98F"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working space around all equipment.  Provide all required fittings, connections and accessories required for a complete and usable system.  Install all equipment in accordance with the criteria in PTS Section D30 and the manufacturer's recommendations.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manufacturer’s instructions, substitute the word "must".</w:t>
      </w:r>
    </w:p>
    <w:p w14:paraId="401512F9"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4255A">
        <w:rPr>
          <w:rFonts w:ascii="ArialMT" w:hAnsi="ArialMT" w:cs="ArialMT"/>
          <w:b/>
          <w:bCs/>
          <w:vanish/>
          <w:color w:val="0000FF"/>
          <w:sz w:val="20"/>
          <w:szCs w:val="20"/>
        </w:rPr>
        <w:t xml:space="preserve"> </w:t>
      </w:r>
      <w:r>
        <w:rPr>
          <w:rFonts w:ascii="ArialMT" w:hAnsi="ArialMT" w:cs="ArialMT"/>
          <w:b/>
          <w:bCs/>
          <w:vanish/>
          <w:color w:val="0000FF"/>
          <w:sz w:val="20"/>
          <w:szCs w:val="20"/>
        </w:rPr>
        <w:t>Refer to UFC 3-410-01 for guidance on selection of design conditions, HVAC requirements for specific facility types, and identification of facility types not eligible for air conditioning.</w:t>
      </w:r>
      <w:r>
        <w:rPr>
          <w:rFonts w:ascii="ArialMT" w:hAnsi="ArialMT" w:cs="ArialMT"/>
          <w:b/>
          <w:bCs/>
          <w:vanish/>
          <w:color w:val="0000FF"/>
          <w:sz w:val="20"/>
          <w:szCs w:val="20"/>
        </w:rPr>
        <w:br/>
        <w:t>**********************************************************************************************************</w:t>
      </w:r>
    </w:p>
    <w:p w14:paraId="0385B400"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3B5719CD"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conditioning and heating for spaces as indicated and for the following Design conditions:</w:t>
      </w:r>
    </w:p>
    <w:p w14:paraId="178590FC" w14:textId="77777777" w:rsidR="00E4255A" w:rsidRDefault="00E4255A" w:rsidP="00E4255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Outside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E4255A" w14:paraId="3D4200C2" w14:textId="77777777" w:rsidTr="002732C5">
        <w:tc>
          <w:tcPr>
            <w:tcW w:w="1540" w:type="dxa"/>
            <w:vMerge w:val="restart"/>
          </w:tcPr>
          <w:p w14:paraId="7A17E045"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lastRenderedPageBreak/>
              <w:t>Summer</w:t>
            </w:r>
          </w:p>
        </w:tc>
        <w:tc>
          <w:tcPr>
            <w:tcW w:w="1108" w:type="dxa"/>
          </w:tcPr>
          <w:p w14:paraId="0103B746"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069AA3D1"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758B42EB"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7A932D55"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7B3F0F7C"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E4255A" w14:paraId="084CCAF0" w14:textId="77777777" w:rsidTr="002732C5">
        <w:trPr>
          <w:trHeight w:val="368"/>
        </w:trPr>
        <w:tc>
          <w:tcPr>
            <w:tcW w:w="1540" w:type="dxa"/>
            <w:vMerge/>
          </w:tcPr>
          <w:p w14:paraId="2823DDEE" w14:textId="77777777" w:rsidR="00E4255A" w:rsidRDefault="00E4255A" w:rsidP="002732C5">
            <w:pPr>
              <w:widowControl w:val="0"/>
              <w:autoSpaceDE w:val="0"/>
              <w:autoSpaceDN w:val="0"/>
              <w:adjustRightInd w:val="0"/>
              <w:spacing w:after="240"/>
              <w:rPr>
                <w:rFonts w:ascii="ArialMT" w:hAnsi="ArialMT" w:cs="ArialMT"/>
                <w:sz w:val="20"/>
                <w:szCs w:val="20"/>
              </w:rPr>
            </w:pPr>
          </w:p>
        </w:tc>
        <w:tc>
          <w:tcPr>
            <w:tcW w:w="1108" w:type="dxa"/>
          </w:tcPr>
          <w:p w14:paraId="0305C9EF"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10207A78"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4906FA41" w14:textId="77777777" w:rsidR="00E4255A" w:rsidRDefault="00E4255A" w:rsidP="002732C5">
            <w:pPr>
              <w:widowControl w:val="0"/>
              <w:autoSpaceDE w:val="0"/>
              <w:autoSpaceDN w:val="0"/>
              <w:adjustRightInd w:val="0"/>
              <w:spacing w:after="240"/>
              <w:rPr>
                <w:rFonts w:ascii="ArialMT" w:hAnsi="ArialMT" w:cs="ArialMT"/>
                <w:sz w:val="20"/>
                <w:szCs w:val="20"/>
              </w:rPr>
            </w:pPr>
          </w:p>
        </w:tc>
        <w:tc>
          <w:tcPr>
            <w:tcW w:w="1539" w:type="dxa"/>
          </w:tcPr>
          <w:p w14:paraId="2BBB63FC"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4EF78241"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E4255A" w14:paraId="52B86F23" w14:textId="77777777" w:rsidTr="002732C5">
        <w:trPr>
          <w:trHeight w:val="251"/>
        </w:trPr>
        <w:tc>
          <w:tcPr>
            <w:tcW w:w="1540" w:type="dxa"/>
            <w:vMerge/>
          </w:tcPr>
          <w:p w14:paraId="05120C11" w14:textId="77777777" w:rsidR="00E4255A" w:rsidRDefault="00E4255A" w:rsidP="002732C5">
            <w:pPr>
              <w:widowControl w:val="0"/>
              <w:autoSpaceDE w:val="0"/>
              <w:autoSpaceDN w:val="0"/>
              <w:adjustRightInd w:val="0"/>
              <w:spacing w:after="240"/>
              <w:rPr>
                <w:rFonts w:ascii="ArialMT" w:hAnsi="ArialMT" w:cs="ArialMT"/>
                <w:sz w:val="20"/>
                <w:szCs w:val="20"/>
              </w:rPr>
            </w:pPr>
          </w:p>
        </w:tc>
        <w:tc>
          <w:tcPr>
            <w:tcW w:w="1108" w:type="dxa"/>
          </w:tcPr>
          <w:p w14:paraId="2065A877"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76FCB139"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wet bulb</w:t>
            </w:r>
          </w:p>
        </w:tc>
        <w:tc>
          <w:tcPr>
            <w:tcW w:w="1170" w:type="dxa"/>
            <w:vMerge/>
          </w:tcPr>
          <w:p w14:paraId="5727C94C" w14:textId="77777777" w:rsidR="00E4255A" w:rsidRDefault="00E4255A" w:rsidP="002732C5">
            <w:pPr>
              <w:widowControl w:val="0"/>
              <w:autoSpaceDE w:val="0"/>
              <w:autoSpaceDN w:val="0"/>
              <w:adjustRightInd w:val="0"/>
              <w:spacing w:after="240"/>
              <w:rPr>
                <w:rFonts w:ascii="ArialMT" w:hAnsi="ArialMT" w:cs="ArialMT"/>
                <w:sz w:val="20"/>
                <w:szCs w:val="20"/>
              </w:rPr>
            </w:pPr>
          </w:p>
        </w:tc>
        <w:tc>
          <w:tcPr>
            <w:tcW w:w="3078" w:type="dxa"/>
            <w:gridSpan w:val="2"/>
            <w:vMerge w:val="restart"/>
          </w:tcPr>
          <w:p w14:paraId="2C625089" w14:textId="77777777" w:rsidR="00E4255A" w:rsidRDefault="00E4255A" w:rsidP="002732C5">
            <w:pPr>
              <w:widowControl w:val="0"/>
              <w:autoSpaceDE w:val="0"/>
              <w:autoSpaceDN w:val="0"/>
              <w:adjustRightInd w:val="0"/>
              <w:spacing w:after="240"/>
              <w:rPr>
                <w:rFonts w:ascii="ArialMT" w:hAnsi="ArialMT" w:cs="ArialMT"/>
                <w:sz w:val="20"/>
                <w:szCs w:val="20"/>
              </w:rPr>
            </w:pPr>
          </w:p>
        </w:tc>
      </w:tr>
      <w:tr w:rsidR="00E4255A" w14:paraId="14841B63" w14:textId="77777777" w:rsidTr="002732C5">
        <w:trPr>
          <w:trHeight w:val="305"/>
        </w:trPr>
        <w:tc>
          <w:tcPr>
            <w:tcW w:w="1540" w:type="dxa"/>
            <w:vMerge/>
          </w:tcPr>
          <w:p w14:paraId="088C639D" w14:textId="77777777" w:rsidR="00E4255A" w:rsidRDefault="00E4255A" w:rsidP="002732C5">
            <w:pPr>
              <w:widowControl w:val="0"/>
              <w:autoSpaceDE w:val="0"/>
              <w:autoSpaceDN w:val="0"/>
              <w:adjustRightInd w:val="0"/>
              <w:spacing w:after="240"/>
              <w:rPr>
                <w:rFonts w:ascii="ArialMT" w:hAnsi="ArialMT" w:cs="ArialMT"/>
                <w:sz w:val="20"/>
                <w:szCs w:val="20"/>
              </w:rPr>
            </w:pPr>
          </w:p>
        </w:tc>
        <w:tc>
          <w:tcPr>
            <w:tcW w:w="1108" w:type="dxa"/>
          </w:tcPr>
          <w:p w14:paraId="0CD645F8"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1346FCF5"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wet bulb</w:t>
            </w:r>
          </w:p>
        </w:tc>
        <w:tc>
          <w:tcPr>
            <w:tcW w:w="1170" w:type="dxa"/>
            <w:vMerge/>
          </w:tcPr>
          <w:p w14:paraId="25630FE2" w14:textId="77777777" w:rsidR="00E4255A" w:rsidRDefault="00E4255A" w:rsidP="002732C5">
            <w:pPr>
              <w:widowControl w:val="0"/>
              <w:autoSpaceDE w:val="0"/>
              <w:autoSpaceDN w:val="0"/>
              <w:adjustRightInd w:val="0"/>
              <w:spacing w:after="240"/>
              <w:rPr>
                <w:rFonts w:ascii="ArialMT" w:hAnsi="ArialMT" w:cs="ArialMT"/>
                <w:sz w:val="20"/>
                <w:szCs w:val="20"/>
              </w:rPr>
            </w:pPr>
          </w:p>
        </w:tc>
        <w:tc>
          <w:tcPr>
            <w:tcW w:w="3078" w:type="dxa"/>
            <w:gridSpan w:val="2"/>
            <w:vMerge/>
          </w:tcPr>
          <w:p w14:paraId="64651283" w14:textId="77777777" w:rsidR="00E4255A" w:rsidRDefault="00E4255A" w:rsidP="002732C5">
            <w:pPr>
              <w:widowControl w:val="0"/>
              <w:autoSpaceDE w:val="0"/>
              <w:autoSpaceDN w:val="0"/>
              <w:adjustRightInd w:val="0"/>
              <w:spacing w:after="240"/>
              <w:rPr>
                <w:rFonts w:ascii="ArialMT" w:hAnsi="ArialMT" w:cs="ArialMT"/>
                <w:sz w:val="20"/>
                <w:szCs w:val="20"/>
              </w:rPr>
            </w:pPr>
          </w:p>
        </w:tc>
      </w:tr>
    </w:tbl>
    <w:p w14:paraId="2B1B58BE" w14:textId="77777777" w:rsidR="00E4255A" w:rsidRDefault="00E4255A" w:rsidP="00E4255A">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Inside Conditions</w:t>
      </w:r>
    </w:p>
    <w:tbl>
      <w:tblPr>
        <w:tblStyle w:val="TableGrid"/>
        <w:tblW w:w="0" w:type="auto"/>
        <w:tblInd w:w="340" w:type="dxa"/>
        <w:tblLook w:val="04A0" w:firstRow="1" w:lastRow="0" w:firstColumn="1" w:lastColumn="0" w:noHBand="0" w:noVBand="1"/>
      </w:tblPr>
      <w:tblGrid>
        <w:gridCol w:w="1513"/>
        <w:gridCol w:w="1075"/>
        <w:gridCol w:w="2273"/>
        <w:gridCol w:w="1152"/>
        <w:gridCol w:w="1486"/>
        <w:gridCol w:w="1511"/>
      </w:tblGrid>
      <w:tr w:rsidR="00E4255A" w14:paraId="5138015E" w14:textId="77777777" w:rsidTr="002732C5">
        <w:tc>
          <w:tcPr>
            <w:tcW w:w="1540" w:type="dxa"/>
            <w:vMerge w:val="restart"/>
          </w:tcPr>
          <w:p w14:paraId="53283834"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49011229"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78</w:t>
            </w:r>
          </w:p>
        </w:tc>
        <w:tc>
          <w:tcPr>
            <w:tcW w:w="2340" w:type="dxa"/>
          </w:tcPr>
          <w:p w14:paraId="49227E9E"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4B60576D"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4A06DD3E"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68</w:t>
            </w:r>
          </w:p>
        </w:tc>
        <w:tc>
          <w:tcPr>
            <w:tcW w:w="1539" w:type="dxa"/>
          </w:tcPr>
          <w:p w14:paraId="04627BE7"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E4255A" w14:paraId="0834D76F" w14:textId="77777777" w:rsidTr="002732C5">
        <w:trPr>
          <w:trHeight w:val="368"/>
        </w:trPr>
        <w:tc>
          <w:tcPr>
            <w:tcW w:w="1540" w:type="dxa"/>
            <w:vMerge/>
          </w:tcPr>
          <w:p w14:paraId="6C9952AE" w14:textId="77777777" w:rsidR="00E4255A" w:rsidRDefault="00E4255A" w:rsidP="002732C5">
            <w:pPr>
              <w:widowControl w:val="0"/>
              <w:autoSpaceDE w:val="0"/>
              <w:autoSpaceDN w:val="0"/>
              <w:adjustRightInd w:val="0"/>
              <w:spacing w:after="240"/>
              <w:rPr>
                <w:rFonts w:ascii="ArialMT" w:hAnsi="ArialMT" w:cs="ArialMT"/>
                <w:sz w:val="20"/>
                <w:szCs w:val="20"/>
              </w:rPr>
            </w:pPr>
          </w:p>
        </w:tc>
        <w:tc>
          <w:tcPr>
            <w:tcW w:w="1108" w:type="dxa"/>
          </w:tcPr>
          <w:p w14:paraId="5105CDC1"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26</w:t>
            </w:r>
          </w:p>
        </w:tc>
        <w:tc>
          <w:tcPr>
            <w:tcW w:w="2340" w:type="dxa"/>
          </w:tcPr>
          <w:p w14:paraId="66B3385B"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0485F3B2" w14:textId="77777777" w:rsidR="00E4255A" w:rsidRDefault="00E4255A" w:rsidP="002732C5">
            <w:pPr>
              <w:widowControl w:val="0"/>
              <w:autoSpaceDE w:val="0"/>
              <w:autoSpaceDN w:val="0"/>
              <w:adjustRightInd w:val="0"/>
              <w:spacing w:after="240"/>
              <w:rPr>
                <w:rFonts w:ascii="ArialMT" w:hAnsi="ArialMT" w:cs="ArialMT"/>
                <w:sz w:val="20"/>
                <w:szCs w:val="20"/>
              </w:rPr>
            </w:pPr>
          </w:p>
        </w:tc>
        <w:tc>
          <w:tcPr>
            <w:tcW w:w="1539" w:type="dxa"/>
          </w:tcPr>
          <w:p w14:paraId="21E2B813"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20</w:t>
            </w:r>
          </w:p>
        </w:tc>
        <w:tc>
          <w:tcPr>
            <w:tcW w:w="1539" w:type="dxa"/>
          </w:tcPr>
          <w:p w14:paraId="11BC8487"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E4255A" w14:paraId="776F7093" w14:textId="77777777" w:rsidTr="002732C5">
        <w:trPr>
          <w:trHeight w:val="251"/>
        </w:trPr>
        <w:tc>
          <w:tcPr>
            <w:tcW w:w="1540" w:type="dxa"/>
            <w:vMerge/>
          </w:tcPr>
          <w:p w14:paraId="6E396D20" w14:textId="77777777" w:rsidR="00E4255A" w:rsidRDefault="00E4255A" w:rsidP="002732C5">
            <w:pPr>
              <w:widowControl w:val="0"/>
              <w:autoSpaceDE w:val="0"/>
              <w:autoSpaceDN w:val="0"/>
              <w:adjustRightInd w:val="0"/>
              <w:spacing w:after="240"/>
              <w:rPr>
                <w:rFonts w:ascii="ArialMT" w:hAnsi="ArialMT" w:cs="ArialMT"/>
                <w:sz w:val="20"/>
                <w:szCs w:val="20"/>
              </w:rPr>
            </w:pPr>
          </w:p>
        </w:tc>
        <w:tc>
          <w:tcPr>
            <w:tcW w:w="1108" w:type="dxa"/>
          </w:tcPr>
          <w:p w14:paraId="2C1C607C"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50</w:t>
            </w:r>
          </w:p>
        </w:tc>
        <w:tc>
          <w:tcPr>
            <w:tcW w:w="2340" w:type="dxa"/>
          </w:tcPr>
          <w:p w14:paraId="57AE3243"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Percent RH</w:t>
            </w:r>
          </w:p>
        </w:tc>
        <w:tc>
          <w:tcPr>
            <w:tcW w:w="1170" w:type="dxa"/>
            <w:vMerge/>
          </w:tcPr>
          <w:p w14:paraId="50CB1D8A" w14:textId="77777777" w:rsidR="00E4255A" w:rsidRDefault="00E4255A" w:rsidP="002732C5">
            <w:pPr>
              <w:widowControl w:val="0"/>
              <w:autoSpaceDE w:val="0"/>
              <w:autoSpaceDN w:val="0"/>
              <w:adjustRightInd w:val="0"/>
              <w:spacing w:after="240"/>
              <w:rPr>
                <w:rFonts w:ascii="ArialMT" w:hAnsi="ArialMT" w:cs="ArialMT"/>
                <w:sz w:val="20"/>
                <w:szCs w:val="20"/>
              </w:rPr>
            </w:pPr>
          </w:p>
        </w:tc>
        <w:tc>
          <w:tcPr>
            <w:tcW w:w="3078" w:type="dxa"/>
            <w:gridSpan w:val="2"/>
          </w:tcPr>
          <w:p w14:paraId="1B3911E0" w14:textId="77777777" w:rsidR="00E4255A" w:rsidRDefault="00E4255A" w:rsidP="002732C5">
            <w:pPr>
              <w:widowControl w:val="0"/>
              <w:autoSpaceDE w:val="0"/>
              <w:autoSpaceDN w:val="0"/>
              <w:adjustRightInd w:val="0"/>
              <w:spacing w:after="240"/>
              <w:rPr>
                <w:rFonts w:ascii="ArialMT" w:hAnsi="ArialMT" w:cs="ArialMT"/>
                <w:sz w:val="20"/>
                <w:szCs w:val="20"/>
              </w:rPr>
            </w:pPr>
          </w:p>
        </w:tc>
      </w:tr>
    </w:tbl>
    <w:p w14:paraId="093EAC12" w14:textId="77777777" w:rsidR="00E4255A" w:rsidRDefault="00E4255A" w:rsidP="00E4255A">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[Special Areas] Inside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E4255A" w14:paraId="6AE4CC1D" w14:textId="77777777" w:rsidTr="002732C5">
        <w:tc>
          <w:tcPr>
            <w:tcW w:w="1540" w:type="dxa"/>
            <w:vMerge w:val="restart"/>
          </w:tcPr>
          <w:p w14:paraId="445BDAF9"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12EC5149"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0EF7144C"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37D2529E"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1AB85B48"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2D929181"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E4255A" w14:paraId="0092C4FC" w14:textId="77777777" w:rsidTr="002732C5">
        <w:trPr>
          <w:trHeight w:val="368"/>
        </w:trPr>
        <w:tc>
          <w:tcPr>
            <w:tcW w:w="1540" w:type="dxa"/>
            <w:vMerge/>
          </w:tcPr>
          <w:p w14:paraId="667774F6" w14:textId="77777777" w:rsidR="00E4255A" w:rsidRDefault="00E4255A" w:rsidP="002732C5">
            <w:pPr>
              <w:widowControl w:val="0"/>
              <w:autoSpaceDE w:val="0"/>
              <w:autoSpaceDN w:val="0"/>
              <w:adjustRightInd w:val="0"/>
              <w:spacing w:after="240"/>
              <w:rPr>
                <w:rFonts w:ascii="ArialMT" w:hAnsi="ArialMT" w:cs="ArialMT"/>
                <w:sz w:val="20"/>
                <w:szCs w:val="20"/>
              </w:rPr>
            </w:pPr>
          </w:p>
        </w:tc>
        <w:tc>
          <w:tcPr>
            <w:tcW w:w="1108" w:type="dxa"/>
          </w:tcPr>
          <w:p w14:paraId="0FCEE819"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0FAABBAF"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23EEEFAF" w14:textId="77777777" w:rsidR="00E4255A" w:rsidRDefault="00E4255A" w:rsidP="002732C5">
            <w:pPr>
              <w:widowControl w:val="0"/>
              <w:autoSpaceDE w:val="0"/>
              <w:autoSpaceDN w:val="0"/>
              <w:adjustRightInd w:val="0"/>
              <w:spacing w:after="240"/>
              <w:rPr>
                <w:rFonts w:ascii="ArialMT" w:hAnsi="ArialMT" w:cs="ArialMT"/>
                <w:sz w:val="20"/>
                <w:szCs w:val="20"/>
              </w:rPr>
            </w:pPr>
          </w:p>
        </w:tc>
        <w:tc>
          <w:tcPr>
            <w:tcW w:w="1539" w:type="dxa"/>
          </w:tcPr>
          <w:p w14:paraId="206DCE83"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2F984B70"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E4255A" w14:paraId="5EA516DA" w14:textId="77777777" w:rsidTr="002732C5">
        <w:trPr>
          <w:trHeight w:val="251"/>
        </w:trPr>
        <w:tc>
          <w:tcPr>
            <w:tcW w:w="1540" w:type="dxa"/>
            <w:vMerge/>
          </w:tcPr>
          <w:p w14:paraId="199B9AFE" w14:textId="77777777" w:rsidR="00E4255A" w:rsidRDefault="00E4255A" w:rsidP="002732C5">
            <w:pPr>
              <w:widowControl w:val="0"/>
              <w:autoSpaceDE w:val="0"/>
              <w:autoSpaceDN w:val="0"/>
              <w:adjustRightInd w:val="0"/>
              <w:spacing w:after="240"/>
              <w:rPr>
                <w:rFonts w:ascii="ArialMT" w:hAnsi="ArialMT" w:cs="ArialMT"/>
                <w:sz w:val="20"/>
                <w:szCs w:val="20"/>
              </w:rPr>
            </w:pPr>
          </w:p>
        </w:tc>
        <w:tc>
          <w:tcPr>
            <w:tcW w:w="1108" w:type="dxa"/>
          </w:tcPr>
          <w:p w14:paraId="0195B288"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66EEC97B"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Percent RH</w:t>
            </w:r>
          </w:p>
        </w:tc>
        <w:tc>
          <w:tcPr>
            <w:tcW w:w="1170" w:type="dxa"/>
            <w:vMerge/>
          </w:tcPr>
          <w:p w14:paraId="71B47379" w14:textId="77777777" w:rsidR="00E4255A" w:rsidRDefault="00E4255A" w:rsidP="002732C5">
            <w:pPr>
              <w:widowControl w:val="0"/>
              <w:autoSpaceDE w:val="0"/>
              <w:autoSpaceDN w:val="0"/>
              <w:adjustRightInd w:val="0"/>
              <w:spacing w:after="240"/>
              <w:rPr>
                <w:rFonts w:ascii="ArialMT" w:hAnsi="ArialMT" w:cs="ArialMT"/>
                <w:sz w:val="20"/>
                <w:szCs w:val="20"/>
              </w:rPr>
            </w:pPr>
          </w:p>
        </w:tc>
        <w:tc>
          <w:tcPr>
            <w:tcW w:w="3078" w:type="dxa"/>
            <w:gridSpan w:val="2"/>
          </w:tcPr>
          <w:p w14:paraId="32BED95A" w14:textId="77777777" w:rsidR="00E4255A" w:rsidRDefault="00E4255A" w:rsidP="002732C5">
            <w:pPr>
              <w:widowControl w:val="0"/>
              <w:autoSpaceDE w:val="0"/>
              <w:autoSpaceDN w:val="0"/>
              <w:adjustRightInd w:val="0"/>
              <w:spacing w:after="240"/>
              <w:rPr>
                <w:rFonts w:ascii="ArialMT" w:hAnsi="ArialMT" w:cs="ArialMT"/>
                <w:sz w:val="20"/>
                <w:szCs w:val="20"/>
              </w:rPr>
            </w:pPr>
          </w:p>
        </w:tc>
      </w:tr>
    </w:tbl>
    <w:p w14:paraId="7E6A9C22" w14:textId="77777777" w:rsidR="00E4255A" w:rsidRDefault="00E4255A" w:rsidP="00E4255A">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Heating &amp; Ventilating Inside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E4255A" w14:paraId="0E86404B" w14:textId="77777777" w:rsidTr="002732C5">
        <w:tc>
          <w:tcPr>
            <w:tcW w:w="1540" w:type="dxa"/>
            <w:vMerge w:val="restart"/>
          </w:tcPr>
          <w:p w14:paraId="5AF4B69E"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790EA562"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41EBA693"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0862268E"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386DBE33"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65266F3C"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E4255A" w14:paraId="1B4C30B5" w14:textId="77777777" w:rsidTr="002732C5">
        <w:trPr>
          <w:trHeight w:val="368"/>
        </w:trPr>
        <w:tc>
          <w:tcPr>
            <w:tcW w:w="1540" w:type="dxa"/>
            <w:vMerge/>
          </w:tcPr>
          <w:p w14:paraId="4F5D3B83" w14:textId="77777777" w:rsidR="00E4255A" w:rsidRDefault="00E4255A" w:rsidP="002732C5">
            <w:pPr>
              <w:widowControl w:val="0"/>
              <w:autoSpaceDE w:val="0"/>
              <w:autoSpaceDN w:val="0"/>
              <w:adjustRightInd w:val="0"/>
              <w:spacing w:after="240"/>
              <w:rPr>
                <w:rFonts w:ascii="ArialMT" w:hAnsi="ArialMT" w:cs="ArialMT"/>
                <w:sz w:val="20"/>
                <w:szCs w:val="20"/>
              </w:rPr>
            </w:pPr>
          </w:p>
        </w:tc>
        <w:tc>
          <w:tcPr>
            <w:tcW w:w="1108" w:type="dxa"/>
          </w:tcPr>
          <w:p w14:paraId="46C0E841"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719AF361"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6077D469" w14:textId="77777777" w:rsidR="00E4255A" w:rsidRDefault="00E4255A" w:rsidP="002732C5">
            <w:pPr>
              <w:widowControl w:val="0"/>
              <w:autoSpaceDE w:val="0"/>
              <w:autoSpaceDN w:val="0"/>
              <w:adjustRightInd w:val="0"/>
              <w:spacing w:after="240"/>
              <w:rPr>
                <w:rFonts w:ascii="ArialMT" w:hAnsi="ArialMT" w:cs="ArialMT"/>
                <w:sz w:val="20"/>
                <w:szCs w:val="20"/>
              </w:rPr>
            </w:pPr>
          </w:p>
        </w:tc>
        <w:tc>
          <w:tcPr>
            <w:tcW w:w="1539" w:type="dxa"/>
          </w:tcPr>
          <w:p w14:paraId="701CA9DE"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16AD8ECE"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E4255A" w14:paraId="41A8095C" w14:textId="77777777" w:rsidTr="002732C5">
        <w:trPr>
          <w:trHeight w:val="251"/>
        </w:trPr>
        <w:tc>
          <w:tcPr>
            <w:tcW w:w="1540" w:type="dxa"/>
            <w:vMerge/>
          </w:tcPr>
          <w:p w14:paraId="54F54840" w14:textId="77777777" w:rsidR="00E4255A" w:rsidRDefault="00E4255A" w:rsidP="002732C5">
            <w:pPr>
              <w:widowControl w:val="0"/>
              <w:autoSpaceDE w:val="0"/>
              <w:autoSpaceDN w:val="0"/>
              <w:adjustRightInd w:val="0"/>
              <w:spacing w:after="240"/>
              <w:rPr>
                <w:rFonts w:ascii="ArialMT" w:hAnsi="ArialMT" w:cs="ArialMT"/>
                <w:sz w:val="20"/>
                <w:szCs w:val="20"/>
              </w:rPr>
            </w:pPr>
          </w:p>
        </w:tc>
        <w:tc>
          <w:tcPr>
            <w:tcW w:w="1108" w:type="dxa"/>
          </w:tcPr>
          <w:p w14:paraId="60E19770"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497B9BDF" w14:textId="77777777" w:rsidR="00E4255A" w:rsidRDefault="00E4255A" w:rsidP="002732C5">
            <w:pPr>
              <w:widowControl w:val="0"/>
              <w:autoSpaceDE w:val="0"/>
              <w:autoSpaceDN w:val="0"/>
              <w:adjustRightInd w:val="0"/>
              <w:spacing w:after="240"/>
              <w:rPr>
                <w:rFonts w:ascii="ArialMT" w:hAnsi="ArialMT" w:cs="ArialMT"/>
                <w:sz w:val="20"/>
                <w:szCs w:val="20"/>
              </w:rPr>
            </w:pPr>
            <w:r>
              <w:rPr>
                <w:rFonts w:ascii="ArialMT" w:hAnsi="ArialMT" w:cs="ArialMT"/>
                <w:sz w:val="20"/>
                <w:szCs w:val="20"/>
              </w:rPr>
              <w:t>[Air changes per hour]</w:t>
            </w:r>
          </w:p>
        </w:tc>
        <w:tc>
          <w:tcPr>
            <w:tcW w:w="1170" w:type="dxa"/>
            <w:vMerge/>
          </w:tcPr>
          <w:p w14:paraId="2617A157" w14:textId="77777777" w:rsidR="00E4255A" w:rsidRDefault="00E4255A" w:rsidP="002732C5">
            <w:pPr>
              <w:widowControl w:val="0"/>
              <w:autoSpaceDE w:val="0"/>
              <w:autoSpaceDN w:val="0"/>
              <w:adjustRightInd w:val="0"/>
              <w:spacing w:after="240"/>
              <w:rPr>
                <w:rFonts w:ascii="ArialMT" w:hAnsi="ArialMT" w:cs="ArialMT"/>
                <w:sz w:val="20"/>
                <w:szCs w:val="20"/>
              </w:rPr>
            </w:pPr>
          </w:p>
        </w:tc>
        <w:tc>
          <w:tcPr>
            <w:tcW w:w="3078" w:type="dxa"/>
            <w:gridSpan w:val="2"/>
          </w:tcPr>
          <w:p w14:paraId="73954C96" w14:textId="77777777" w:rsidR="00E4255A" w:rsidRDefault="00E4255A" w:rsidP="002732C5">
            <w:pPr>
              <w:widowControl w:val="0"/>
              <w:autoSpaceDE w:val="0"/>
              <w:autoSpaceDN w:val="0"/>
              <w:adjustRightInd w:val="0"/>
              <w:spacing w:after="240"/>
              <w:rPr>
                <w:rFonts w:ascii="ArialMT" w:hAnsi="ArialMT" w:cs="ArialMT"/>
                <w:sz w:val="20"/>
                <w:szCs w:val="20"/>
              </w:rPr>
            </w:pPr>
          </w:p>
        </w:tc>
      </w:tr>
    </w:tbl>
    <w:p w14:paraId="667BD36E"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32"/>
          <w:szCs w:val="32"/>
        </w:rPr>
        <w:br/>
      </w:r>
      <w:r>
        <w:rPr>
          <w:rFonts w:ascii="ArialMT" w:hAnsi="ArialMT" w:cs="ArialMT"/>
          <w:sz w:val="20"/>
          <w:szCs w:val="20"/>
        </w:rPr>
        <w:t xml:space="preserve">Provide Ventilation rates and systems in accordance with ASHRAE Standard 62.1, </w:t>
      </w:r>
      <w:r>
        <w:rPr>
          <w:rFonts w:ascii="ArialMT" w:hAnsi="ArialMT" w:cs="ArialMT"/>
          <w:i/>
          <w:iCs/>
          <w:sz w:val="20"/>
          <w:szCs w:val="20"/>
        </w:rPr>
        <w:t>Ventilation for Acceptable Indoor Air Quality</w:t>
      </w:r>
      <w:r>
        <w:rPr>
          <w:rFonts w:ascii="ArialMT" w:hAnsi="ArialMT" w:cs="ArialMT"/>
          <w:sz w:val="20"/>
          <w:szCs w:val="20"/>
        </w:rPr>
        <w:t>.</w:t>
      </w:r>
    </w:p>
    <w:p w14:paraId="376B07F7"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4255A">
        <w:rPr>
          <w:rFonts w:ascii="ArialMT" w:hAnsi="ArialMT" w:cs="ArialMT"/>
          <w:b/>
          <w:bCs/>
          <w:vanish/>
          <w:color w:val="0000FF"/>
          <w:sz w:val="20"/>
          <w:szCs w:val="20"/>
        </w:rPr>
        <w:t xml:space="preserve"> </w:t>
      </w:r>
      <w:r>
        <w:rPr>
          <w:rFonts w:ascii="ArialMT" w:hAnsi="ArialMT" w:cs="ArialMT"/>
          <w:b/>
          <w:bCs/>
          <w:vanish/>
          <w:color w:val="0000FF"/>
          <w:sz w:val="20"/>
          <w:szCs w:val="20"/>
        </w:rPr>
        <w:t xml:space="preserve">Provide ventilation in accordance with UFC 3-401-01. Consider providing demand controlled ventilation via CO2 sensors where applicable such as Dining Facilities, Multi-purpose rooms, or other areas of highly diverse occupancies. </w:t>
      </w:r>
      <w:r>
        <w:rPr>
          <w:rFonts w:ascii="ArialMT" w:hAnsi="ArialMT" w:cs="ArialMT"/>
          <w:b/>
          <w:bCs/>
          <w:vanish/>
          <w:color w:val="0000FF"/>
          <w:sz w:val="20"/>
          <w:szCs w:val="20"/>
        </w:rPr>
        <w:br/>
        <w:t>**********************************************************************************************************</w:t>
      </w:r>
    </w:p>
    <w:p w14:paraId="201D62E1"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2267048B"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ventilation for </w:t>
      </w:r>
      <w:proofErr w:type="gramStart"/>
      <w:r>
        <w:rPr>
          <w:rFonts w:ascii="ArialMT" w:hAnsi="ArialMT" w:cs="ArialMT"/>
          <w:sz w:val="20"/>
          <w:szCs w:val="20"/>
        </w:rPr>
        <w:t>[ ]</w:t>
      </w:r>
      <w:proofErr w:type="gramEnd"/>
      <w:r>
        <w:rPr>
          <w:rFonts w:ascii="ArialMT" w:hAnsi="ArialMT" w:cs="ArialMT"/>
          <w:sz w:val="20"/>
          <w:szCs w:val="20"/>
        </w:rPr>
        <w:t>.]</w:t>
      </w:r>
    </w:p>
    <w:p w14:paraId="652601D0"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[Configure the HVAC system to provide each zone with the choice of heating or cooling </w:t>
      </w:r>
      <w:proofErr w:type="gramStart"/>
      <w:r>
        <w:rPr>
          <w:rFonts w:ascii="ArialMT" w:hAnsi="ArialMT" w:cs="ArialMT"/>
          <w:sz w:val="20"/>
          <w:szCs w:val="20"/>
        </w:rPr>
        <w:t>year round</w:t>
      </w:r>
      <w:proofErr w:type="gramEnd"/>
      <w:r>
        <w:rPr>
          <w:rFonts w:ascii="ArialMT" w:hAnsi="ArialMT" w:cs="ArialMT"/>
          <w:sz w:val="20"/>
          <w:szCs w:val="20"/>
        </w:rPr>
        <w:t xml:space="preserve"> unless otherwise indicated.]  [Provide each zone with its own limited range of control, as allowed by the control system central workstation.]</w:t>
      </w:r>
    </w:p>
    <w:p w14:paraId="7E20870A"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4255A">
        <w:rPr>
          <w:rFonts w:ascii="ArialMT" w:hAnsi="ArialMT" w:cs="ArialMT"/>
          <w:b/>
          <w:bCs/>
          <w:vanish/>
          <w:color w:val="0000FF"/>
          <w:sz w:val="20"/>
          <w:szCs w:val="20"/>
        </w:rPr>
        <w:t xml:space="preserve"> </w:t>
      </w:r>
      <w:r>
        <w:rPr>
          <w:rFonts w:ascii="ArialMT" w:hAnsi="ArialMT" w:cs="ArialMT"/>
          <w:b/>
          <w:bCs/>
          <w:vanish/>
          <w:color w:val="0000FF"/>
          <w:sz w:val="20"/>
          <w:szCs w:val="20"/>
        </w:rPr>
        <w:t>Where necessary, detail zoning requirements.  Coordinate with the project architect for functional requirements of the facility spaces.  Clearly indicate which zones are to be heated and ventilated only vs. heated and cooled.  Also indicate which spaces can be grouped into zones.</w:t>
      </w:r>
      <w:r>
        <w:rPr>
          <w:rFonts w:ascii="ArialMT" w:hAnsi="ArialMT" w:cs="ArialMT"/>
          <w:b/>
          <w:bCs/>
          <w:vanish/>
          <w:color w:val="0000FF"/>
          <w:sz w:val="20"/>
          <w:szCs w:val="20"/>
        </w:rPr>
        <w:br/>
        <w:t>**********************************************************************************************************</w:t>
      </w:r>
    </w:p>
    <w:p w14:paraId="40E97BDA"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58411F5A"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[Zone the HVAC system as follows:</w:t>
      </w:r>
    </w:p>
    <w:p w14:paraId="555CB2A2" w14:textId="77777777" w:rsidR="00734A3C" w:rsidRDefault="00734A3C">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 xml:space="preserve">[ </w:t>
      </w:r>
      <w:proofErr w:type="gramStart"/>
      <w:r w:rsidR="00E4255A">
        <w:rPr>
          <w:rFonts w:ascii="ArialMT" w:hAnsi="ArialMT" w:cs="ArialMT"/>
          <w:sz w:val="20"/>
          <w:szCs w:val="20"/>
        </w:rPr>
        <w:t xml:space="preserve">  </w:t>
      </w:r>
      <w:r>
        <w:rPr>
          <w:rFonts w:ascii="ArialMT" w:hAnsi="ArialMT" w:cs="ArialMT"/>
          <w:sz w:val="20"/>
          <w:szCs w:val="20"/>
        </w:rPr>
        <w:t>]</w:t>
      </w:r>
      <w:proofErr w:type="gramEnd"/>
      <w:r>
        <w:rPr>
          <w:rFonts w:ascii="ArialMT" w:hAnsi="ArialMT" w:cs="ArialMT"/>
          <w:sz w:val="20"/>
          <w:szCs w:val="20"/>
        </w:rPr>
        <w:t xml:space="preserve"> must be a separate zone.</w:t>
      </w:r>
      <w:r>
        <w:rPr>
          <w:rFonts w:ascii="ArialMT" w:hAnsi="ArialMT" w:cs="ArialMT"/>
          <w:sz w:val="20"/>
          <w:szCs w:val="20"/>
        </w:rPr>
        <w:br/>
        <w:t xml:space="preserve">[ </w:t>
      </w:r>
      <w:r w:rsidR="00E4255A">
        <w:rPr>
          <w:rFonts w:ascii="ArialMT" w:hAnsi="ArialMT" w:cs="ArialMT"/>
          <w:sz w:val="20"/>
          <w:szCs w:val="20"/>
        </w:rPr>
        <w:t xml:space="preserve">  </w:t>
      </w:r>
      <w:r>
        <w:rPr>
          <w:rFonts w:ascii="ArialMT" w:hAnsi="ArialMT" w:cs="ArialMT"/>
          <w:sz w:val="20"/>
          <w:szCs w:val="20"/>
        </w:rPr>
        <w:t>] must be a separate zone, heated and ventilated only.</w:t>
      </w:r>
      <w:r>
        <w:rPr>
          <w:rFonts w:ascii="ArialMT" w:hAnsi="ArialMT" w:cs="ArialMT"/>
          <w:sz w:val="20"/>
          <w:szCs w:val="20"/>
        </w:rPr>
        <w:br/>
        <w:t>[</w:t>
      </w:r>
      <w:r w:rsidR="00E4255A">
        <w:rPr>
          <w:rFonts w:ascii="ArialMT" w:hAnsi="ArialMT" w:cs="ArialMT"/>
          <w:sz w:val="20"/>
          <w:szCs w:val="20"/>
        </w:rPr>
        <w:t xml:space="preserve">  </w:t>
      </w:r>
      <w:r>
        <w:rPr>
          <w:rFonts w:ascii="ArialMT" w:hAnsi="ArialMT" w:cs="ArialMT"/>
          <w:sz w:val="20"/>
          <w:szCs w:val="20"/>
        </w:rPr>
        <w:t xml:space="preserve"> ] must be a separate zone, ventilated only.]</w:t>
      </w:r>
      <w:r>
        <w:rPr>
          <w:rFonts w:ascii="ArialMT" w:hAnsi="ArialMT" w:cs="ArialMT"/>
          <w:sz w:val="20"/>
          <w:szCs w:val="20"/>
        </w:rPr>
        <w:br/>
      </w:r>
    </w:p>
    <w:p w14:paraId="603DE31E"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minimum 4-inch (100 mm) thick concrete housekeeping pads and vibration isolators under all floor-mounted equipment.</w:t>
      </w:r>
    </w:p>
    <w:p w14:paraId="413ECFD0"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[For sea coast applications, provide factory painted finishes that are designed for </w:t>
      </w:r>
      <w:proofErr w:type="gramStart"/>
      <w:r>
        <w:rPr>
          <w:rFonts w:ascii="ArialMT" w:hAnsi="ArialMT" w:cs="ArialMT"/>
          <w:sz w:val="20"/>
          <w:szCs w:val="20"/>
        </w:rPr>
        <w:t>3000 hour</w:t>
      </w:r>
      <w:proofErr w:type="gramEnd"/>
      <w:r>
        <w:rPr>
          <w:rFonts w:ascii="ArialMT" w:hAnsi="ArialMT" w:cs="ArialMT"/>
          <w:sz w:val="20"/>
          <w:szCs w:val="20"/>
        </w:rPr>
        <w:t xml:space="preserve"> duration test for outside equipment and for equipment bringing in outside air.]</w:t>
      </w:r>
    </w:p>
    <w:p w14:paraId="21B73734"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4255A">
        <w:rPr>
          <w:rFonts w:ascii="ArialMT" w:hAnsi="ArialMT" w:cs="ArialMT"/>
          <w:b/>
          <w:bCs/>
          <w:vanish/>
          <w:color w:val="0000FF"/>
          <w:sz w:val="20"/>
          <w:szCs w:val="20"/>
        </w:rPr>
        <w:t xml:space="preserve"> </w:t>
      </w:r>
      <w:r>
        <w:rPr>
          <w:rFonts w:ascii="ArialMT" w:hAnsi="ArialMT" w:cs="ArialMT"/>
          <w:b/>
          <w:bCs/>
          <w:vanish/>
          <w:color w:val="0000FF"/>
          <w:sz w:val="20"/>
          <w:szCs w:val="20"/>
        </w:rPr>
        <w:t>Require all HVAC cooling/heating and condenser coils be provided with protective coatings when locations are within 5 miles of the ocean or exposed to corrosive environments.</w:t>
      </w:r>
      <w:r>
        <w:rPr>
          <w:rFonts w:ascii="ArialMT" w:hAnsi="ArialMT" w:cs="ArialMT"/>
          <w:b/>
          <w:bCs/>
          <w:vanish/>
          <w:color w:val="0000FF"/>
          <w:sz w:val="20"/>
          <w:szCs w:val="20"/>
        </w:rPr>
        <w:br/>
        <w:t>**********************************************************************************************************</w:t>
      </w:r>
    </w:p>
    <w:p w14:paraId="0CCD9B2A"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46C6427F"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all mechanical equipment HVAC [cooling/heating] [and] [condenser] coils with a manufacturer approved coating system. The heat transfer rating must be as installed.]</w:t>
      </w:r>
    </w:p>
    <w:p w14:paraId="3EF1CA5E"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unoccupied mode, provide the following night setback temperatures:</w:t>
      </w:r>
    </w:p>
    <w:p w14:paraId="5CED55E2"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winter, 10 degrees F (6 degrees C) lower than indoor heating design conditions, but no lower than 55 degrees F (12.8 degrees C).</w:t>
      </w:r>
    </w:p>
    <w:p w14:paraId="1804A1DC"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summer, 5 degrees F (3 degrees C) higher than indoor cooling design conditions, but no higher than 85 degrees F (29.4 degrees C).</w:t>
      </w:r>
    </w:p>
    <w:p w14:paraId="04C237D6"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 ENERGY SUPPLY </w:t>
      </w:r>
    </w:p>
    <w:p w14:paraId="29E4C816"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4255A">
        <w:rPr>
          <w:rFonts w:ascii="ArialMT" w:hAnsi="ArialMT" w:cs="ArialMT"/>
          <w:b/>
          <w:bCs/>
          <w:vanish/>
          <w:color w:val="0000FF"/>
          <w:sz w:val="20"/>
          <w:szCs w:val="20"/>
        </w:rPr>
        <w:t xml:space="preserve"> </w:t>
      </w:r>
      <w:r>
        <w:rPr>
          <w:rFonts w:ascii="ArialMT" w:hAnsi="ArialMT" w:cs="ArialMT"/>
          <w:b/>
          <w:bCs/>
          <w:vanish/>
          <w:color w:val="0000FF"/>
          <w:sz w:val="20"/>
          <w:szCs w:val="20"/>
        </w:rPr>
        <w:t>Edit the following to indicate the required use of a particular energy source (other than electricity) such as natural gas or a central steam or hot water distribution system where dictated for the project.  Coordinate with Section G30.</w:t>
      </w:r>
      <w:r>
        <w:rPr>
          <w:rFonts w:ascii="ArialMT" w:hAnsi="ArialMT" w:cs="ArialMT"/>
          <w:b/>
          <w:bCs/>
          <w:vanish/>
          <w:color w:val="0000FF"/>
          <w:sz w:val="20"/>
          <w:szCs w:val="20"/>
        </w:rPr>
        <w:br/>
        <w:t>**********************************************************************************************************</w:t>
      </w:r>
    </w:p>
    <w:p w14:paraId="48DCC870"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59023F5C"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D301001 OIL SUPPLY SYSTEM </w:t>
      </w:r>
    </w:p>
    <w:p w14:paraId="4645A1FC"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oil system to provide [above] [below] ground storage and delivery to the </w:t>
      </w:r>
      <w:proofErr w:type="gramStart"/>
      <w:r>
        <w:rPr>
          <w:rFonts w:ascii="ArialMT" w:hAnsi="ArialMT" w:cs="ArialMT"/>
          <w:sz w:val="20"/>
          <w:szCs w:val="20"/>
        </w:rPr>
        <w:t>oil fired</w:t>
      </w:r>
      <w:proofErr w:type="gramEnd"/>
      <w:r>
        <w:rPr>
          <w:rFonts w:ascii="ArialMT" w:hAnsi="ArialMT" w:cs="ArialMT"/>
          <w:sz w:val="20"/>
          <w:szCs w:val="20"/>
        </w:rPr>
        <w:t xml:space="preserve"> equipment. </w:t>
      </w:r>
    </w:p>
    <w:p w14:paraId="78641A28"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D301002 GAS SUPPLY SYSTEM </w:t>
      </w:r>
    </w:p>
    <w:p w14:paraId="334C7A07"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4255A">
        <w:rPr>
          <w:rFonts w:ascii="ArialMT" w:hAnsi="ArialMT" w:cs="ArialMT"/>
          <w:b/>
          <w:bCs/>
          <w:vanish/>
          <w:color w:val="0000FF"/>
          <w:sz w:val="20"/>
          <w:szCs w:val="20"/>
        </w:rPr>
        <w:t xml:space="preserve"> </w:t>
      </w:r>
      <w:r>
        <w:rPr>
          <w:rFonts w:ascii="ArialMT" w:hAnsi="ArialMT" w:cs="ArialMT"/>
          <w:b/>
          <w:bCs/>
          <w:vanish/>
          <w:color w:val="0000FF"/>
          <w:sz w:val="20"/>
          <w:szCs w:val="20"/>
        </w:rPr>
        <w:t>Coordinate with and Insert name of utility company.</w:t>
      </w:r>
      <w:r>
        <w:rPr>
          <w:rFonts w:ascii="ArialMT" w:hAnsi="ArialMT" w:cs="ArialMT"/>
          <w:b/>
          <w:bCs/>
          <w:vanish/>
          <w:color w:val="0000FF"/>
          <w:sz w:val="20"/>
          <w:szCs w:val="20"/>
        </w:rPr>
        <w:br/>
        <w:t>**********************************************************************************************************</w:t>
      </w:r>
    </w:p>
    <w:p w14:paraId="17F21E03"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3E7606CC"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[Obtain natural gas pressures from the local natural gas utility provider, [_____].  Provide any applications and permits and provide the complete natural gas system from the load side of the utility meter to the heating equipment.  Contract with the local natural gas utility provider for installation of piping and appurtenances up to the load side of the meter. </w:t>
      </w:r>
      <w:r w:rsidR="00E4255A">
        <w:rPr>
          <w:rFonts w:ascii="ArialMT" w:hAnsi="ArialMT" w:cs="ArialMT"/>
          <w:sz w:val="20"/>
          <w:szCs w:val="20"/>
        </w:rPr>
        <w:t xml:space="preserve"> </w:t>
      </w:r>
      <w:r>
        <w:rPr>
          <w:rFonts w:ascii="ArialMT" w:hAnsi="ArialMT" w:cs="ArialMT"/>
          <w:sz w:val="20"/>
          <w:szCs w:val="20"/>
        </w:rPr>
        <w:t>Provide gas meter on the building main and tie meter into the Building Automation System (BAS) [and the existing Advanced Metering Infrastructure (AMI) metering system.]</w:t>
      </w:r>
    </w:p>
    <w:p w14:paraId="50EF924E"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propane storage and delivery system to the heating equipment.]</w:t>
      </w:r>
    </w:p>
    <w:p w14:paraId="11CC9E25"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D301003 STEAM SUPPLY SYSTEM (FROM CENTRAL PLANT) </w:t>
      </w:r>
    </w:p>
    <w:p w14:paraId="71DBA2D1"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Section G30, </w:t>
      </w:r>
      <w:r>
        <w:rPr>
          <w:rFonts w:ascii="ArialMT" w:hAnsi="ArialMT" w:cs="ArialMT"/>
          <w:i/>
          <w:iCs/>
          <w:sz w:val="20"/>
          <w:szCs w:val="20"/>
        </w:rPr>
        <w:t>Site Civil/Mechanical Utilities</w:t>
      </w:r>
      <w:r>
        <w:rPr>
          <w:rFonts w:ascii="ArialMT" w:hAnsi="ArialMT" w:cs="ArialMT"/>
          <w:sz w:val="20"/>
          <w:szCs w:val="20"/>
        </w:rPr>
        <w:t>.</w:t>
      </w:r>
    </w:p>
    <w:p w14:paraId="120220AB"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existing central steam distribution system is the source of heating for the facility.  Provide extension and connection to the existing Base steam system.  Provide [[aboveground] [below ground] piping] [concrete trench] system including [manholes] [supports].]</w:t>
      </w:r>
    </w:p>
    <w:p w14:paraId="76ABF398"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D301004 HOT WATER SUPPLY SYSTEM (FROM CENTRAL PLANT) </w:t>
      </w:r>
    </w:p>
    <w:p w14:paraId="3DAD0641"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Section G30, </w:t>
      </w:r>
      <w:r>
        <w:rPr>
          <w:rFonts w:ascii="ArialMT" w:hAnsi="ArialMT" w:cs="ArialMT"/>
          <w:i/>
          <w:iCs/>
          <w:sz w:val="20"/>
          <w:szCs w:val="20"/>
        </w:rPr>
        <w:t>Site Civil/Mechanical Utilities</w:t>
      </w:r>
      <w:r>
        <w:rPr>
          <w:rFonts w:ascii="ArialMT" w:hAnsi="ArialMT" w:cs="ArialMT"/>
          <w:sz w:val="20"/>
          <w:szCs w:val="20"/>
        </w:rPr>
        <w:t>.</w:t>
      </w:r>
    </w:p>
    <w:p w14:paraId="31D5C527"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existing central hot water distribution system is the source of heating for the facility.  Provide extension and connection to the existing Base heating system.  Provide [[aboveground] [below ground] piping] [concrete trench] system including [manholes] [supports].]</w:t>
      </w:r>
    </w:p>
    <w:p w14:paraId="70F94554"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D301005 SOLAR ENERGY SUPPLY SYSTEMS </w:t>
      </w:r>
    </w:p>
    <w:p w14:paraId="25E59164"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Solar Domestic Hot Water Systems (SDHWS) are required by the Energy Independence and Security Act (EISA 07) where Life Cycle cost effective.  Evaluate the building and building site for shading, roof orientation, roof area available for solar panels, roof type, and other relevant issues to ensure that the SDHWS is compatible with the project.  A Solar Domestic Hot Water Decision Tool is available on the CIME Web Page of the NAVFAC Portal for preliminary assistance in determining the solar economics.</w:t>
      </w:r>
      <w:r>
        <w:rPr>
          <w:rFonts w:ascii="ArialMT" w:hAnsi="ArialMT" w:cs="ArialMT"/>
          <w:b/>
          <w:bCs/>
          <w:vanish/>
          <w:color w:val="0000FF"/>
          <w:sz w:val="20"/>
          <w:szCs w:val="20"/>
        </w:rPr>
        <w:br/>
        <w:t>**********************************************************************************************************</w:t>
      </w:r>
    </w:p>
    <w:p w14:paraId="73077620"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004BB0CD"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solar domestic hot water system including heating panels, roof supports, piping, pumps, hot water storage tanks, heat exchangers and controls.  Provide a system designed to furnish a minimum of [30][</w:t>
      </w:r>
      <w:proofErr w:type="gramStart"/>
      <w:r>
        <w:rPr>
          <w:rFonts w:ascii="ArialMT" w:hAnsi="ArialMT" w:cs="ArialMT"/>
          <w:sz w:val="20"/>
          <w:szCs w:val="20"/>
        </w:rPr>
        <w:t>100][</w:t>
      </w:r>
      <w:proofErr w:type="gramEnd"/>
      <w:r>
        <w:rPr>
          <w:rFonts w:ascii="ArialMT" w:hAnsi="ArialMT" w:cs="ArialMT"/>
          <w:sz w:val="20"/>
          <w:szCs w:val="20"/>
        </w:rPr>
        <w:t>___] percent of the annual demand for domestic hot water.</w:t>
      </w:r>
    </w:p>
    <w:p w14:paraId="72CA4FA8"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If the solar domestic hot water system is located on the roof, provide a coordinated design of the roof elements in accordance with UFC 3-110-03 Roofing.  Organize the roof space necessary to accomplish the functions the roof has to provide, minimize roof penetrations, and plan the roof to facilitate future reroofing of the facility.  Select the roof type and detail roof mounted equipment to complement the implementation of the </w:t>
      </w:r>
      <w:proofErr w:type="gramStart"/>
      <w:r>
        <w:rPr>
          <w:rFonts w:ascii="ArialMT" w:hAnsi="ArialMT" w:cs="ArialMT"/>
          <w:sz w:val="20"/>
          <w:szCs w:val="20"/>
        </w:rPr>
        <w:t>functions  that</w:t>
      </w:r>
      <w:proofErr w:type="gramEnd"/>
      <w:r>
        <w:rPr>
          <w:rFonts w:ascii="ArialMT" w:hAnsi="ArialMT" w:cs="ArialMT"/>
          <w:sz w:val="20"/>
          <w:szCs w:val="20"/>
        </w:rPr>
        <w:t xml:space="preserve"> have to take place on the roof and minimize the need for routine maintenance.  Accomplish a Pre-Roof Design Conference prior to the design of the roof.]</w:t>
      </w:r>
    </w:p>
    <w:p w14:paraId="565EE029"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 HEAT GENERATING SYSTEMS </w:t>
      </w:r>
    </w:p>
    <w:p w14:paraId="10CA5DFD"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4255A">
        <w:rPr>
          <w:rFonts w:ascii="ArialMT" w:hAnsi="ArialMT" w:cs="ArialMT"/>
          <w:b/>
          <w:bCs/>
          <w:vanish/>
          <w:color w:val="0000FF"/>
          <w:sz w:val="20"/>
          <w:szCs w:val="20"/>
        </w:rPr>
        <w:t xml:space="preserve"> </w:t>
      </w:r>
      <w:r>
        <w:rPr>
          <w:rFonts w:ascii="ArialMT" w:hAnsi="ArialMT" w:cs="ArialMT"/>
          <w:b/>
          <w:bCs/>
          <w:vanish/>
          <w:color w:val="0000FF"/>
          <w:sz w:val="20"/>
          <w:szCs w:val="20"/>
        </w:rPr>
        <w:t>Check with the Base PWC to see if there has been a previous study or a maintenance preference for boiler configuration.</w:t>
      </w:r>
      <w:r>
        <w:rPr>
          <w:rFonts w:ascii="ArialMT" w:hAnsi="ArialMT" w:cs="ArialMT"/>
          <w:b/>
          <w:bCs/>
          <w:vanish/>
          <w:color w:val="0000FF"/>
          <w:sz w:val="20"/>
          <w:szCs w:val="20"/>
        </w:rPr>
        <w:br/>
        <w:t>**********************************************************************************************************</w:t>
      </w:r>
    </w:p>
    <w:p w14:paraId="3E846543"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782D9793"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heating system for this facility consisting of [1] [2] </w:t>
      </w:r>
      <w:proofErr w:type="gramStart"/>
      <w:r>
        <w:rPr>
          <w:rFonts w:ascii="ArialMT" w:hAnsi="ArialMT" w:cs="ArialMT"/>
          <w:sz w:val="20"/>
          <w:szCs w:val="20"/>
        </w:rPr>
        <w:t>boiler[</w:t>
      </w:r>
      <w:proofErr w:type="gramEnd"/>
      <w:r>
        <w:rPr>
          <w:rFonts w:ascii="ArialMT" w:hAnsi="ArialMT" w:cs="ArialMT"/>
          <w:sz w:val="20"/>
          <w:szCs w:val="20"/>
        </w:rPr>
        <w:t>s, each] providing [100] [60] percent of the load.</w:t>
      </w:r>
    </w:p>
    <w:p w14:paraId="081CD340"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[Boiler(s) located outside are acceptable.]</w:t>
      </w:r>
    </w:p>
    <w:p w14:paraId="54E0E0A4"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shot type feeder for manual chemical feed for closed loop system.]</w:t>
      </w:r>
    </w:p>
    <w:p w14:paraId="5216DBBA"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tempered make-up water with automatic chemical treatment for open loop system.]</w:t>
      </w:r>
    </w:p>
    <w:p w14:paraId="51F85AD7"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D302001 BOILERS </w:t>
      </w:r>
    </w:p>
    <w:p w14:paraId="3FC1D601"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4255A">
        <w:rPr>
          <w:rFonts w:ascii="ArialMT" w:hAnsi="ArialMT" w:cs="ArialMT"/>
          <w:b/>
          <w:bCs/>
          <w:vanish/>
          <w:color w:val="0000FF"/>
          <w:sz w:val="20"/>
          <w:szCs w:val="20"/>
        </w:rPr>
        <w:t xml:space="preserve"> </w:t>
      </w:r>
      <w:r>
        <w:rPr>
          <w:rFonts w:ascii="ArialMT" w:hAnsi="ArialMT" w:cs="ArialMT"/>
          <w:b/>
          <w:bCs/>
          <w:vanish/>
          <w:color w:val="0000FF"/>
          <w:sz w:val="20"/>
          <w:szCs w:val="20"/>
        </w:rPr>
        <w:t>Check with the Base PWD to see if there has been a previous study or a maintenance preference for boiler type. Consider packaged gas fired condensing boilers when natural gas or propane is available for the purpose of gaining maximum energy efficiency.</w:t>
      </w:r>
      <w:r>
        <w:rPr>
          <w:rFonts w:ascii="ArialMT" w:hAnsi="ArialMT" w:cs="ArialMT"/>
          <w:b/>
          <w:bCs/>
          <w:vanish/>
          <w:color w:val="0000FF"/>
          <w:sz w:val="20"/>
          <w:szCs w:val="20"/>
        </w:rPr>
        <w:br/>
        <w:t>**********************************************************************************************************</w:t>
      </w:r>
    </w:p>
    <w:p w14:paraId="0A3BAD6C"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2E78BF88"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[cast iron sectional], [flexible], [steel [] [firebox]], [modified scotch marine], [packaged </w:t>
      </w:r>
      <w:proofErr w:type="gramStart"/>
      <w:r>
        <w:rPr>
          <w:rFonts w:ascii="ArialMT" w:hAnsi="ArialMT" w:cs="ArialMT"/>
          <w:sz w:val="20"/>
          <w:szCs w:val="20"/>
        </w:rPr>
        <w:t>steel ]</w:t>
      </w:r>
      <w:proofErr w:type="gramEnd"/>
      <w:r>
        <w:rPr>
          <w:rFonts w:ascii="ArialMT" w:hAnsi="ArialMT" w:cs="ArialMT"/>
          <w:sz w:val="20"/>
          <w:szCs w:val="20"/>
        </w:rPr>
        <w:t>, [packaged gas fired condensing], [or] [finned tube] [hot water] [steam] boiler[s].  [Provide boiler feed system.]  Provide pre-manufactured, multi-wall boiler stack.</w:t>
      </w:r>
    </w:p>
    <w:p w14:paraId="6958A031"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boiler controls with BACnet communication protocol.]</w:t>
      </w:r>
    </w:p>
    <w:p w14:paraId="08066533"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D302002 FURNACES </w:t>
      </w:r>
    </w:p>
    <w:p w14:paraId="7865107E"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[gas] [oil]-fired [high efficiency, condensing] furnace[s] [with cooling coil]. Include a [aluminized][stainless] steel heat exchanger as a component of the furnace.</w:t>
      </w:r>
    </w:p>
    <w:p w14:paraId="5836B01A"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D302003 FUEL-FIRED UNIT HEATERS </w:t>
      </w:r>
    </w:p>
    <w:p w14:paraId="450EB8E0"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[gas-fired unit heaters] [[condensing] [non-condensing], [direct-fired] [indirect-fired] infrared heaters]. </w:t>
      </w:r>
    </w:p>
    <w:p w14:paraId="60D744A3"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D302004 AUXILIARY EQUIPMENT </w:t>
      </w:r>
    </w:p>
    <w:p w14:paraId="3D710432"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steam to hot water converter(s) for this facility, using the Base central steam system to generate hot water for the HVAC system.]</w:t>
      </w:r>
    </w:p>
    <w:p w14:paraId="33BAC9FB"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steam to hot water heat exchanger for the [    </w:t>
      </w:r>
      <w:proofErr w:type="gramStart"/>
      <w:r>
        <w:rPr>
          <w:rFonts w:ascii="ArialMT" w:hAnsi="ArialMT" w:cs="ArialMT"/>
          <w:sz w:val="20"/>
          <w:szCs w:val="20"/>
        </w:rPr>
        <w:t xml:space="preserve">  ]</w:t>
      </w:r>
      <w:proofErr w:type="gramEnd"/>
      <w:r>
        <w:rPr>
          <w:rFonts w:ascii="ArialMT" w:hAnsi="ArialMT" w:cs="ArialMT"/>
          <w:sz w:val="20"/>
          <w:szCs w:val="20"/>
        </w:rPr>
        <w:t>.]</w:t>
      </w:r>
    </w:p>
    <w:p w14:paraId="1FE37787"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condensate return unit[s].] </w:t>
      </w:r>
    </w:p>
    <w:p w14:paraId="746D4B9C"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D302005 EQUIPMENT THERMAL INSULATION </w:t>
      </w:r>
    </w:p>
    <w:p w14:paraId="1FFA8A26"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insulation for steam system equipment, steam to hot water converters, hot water pumps and other associated heating equipment. </w:t>
      </w:r>
    </w:p>
    <w:p w14:paraId="69928BA0"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D3030 COOLING GENERATING SYSTEMS </w:t>
      </w:r>
    </w:p>
    <w:p w14:paraId="36035F54"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D303001 CHILLED WATER SYSTEMS </w:t>
      </w:r>
    </w:p>
    <w:p w14:paraId="3A6CEA10"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4255A">
        <w:rPr>
          <w:rFonts w:ascii="ArialMT" w:hAnsi="ArialMT" w:cs="ArialMT"/>
          <w:b/>
          <w:bCs/>
          <w:vanish/>
          <w:color w:val="0000FF"/>
          <w:sz w:val="20"/>
          <w:szCs w:val="20"/>
        </w:rPr>
        <w:t xml:space="preserve"> </w:t>
      </w:r>
      <w:r>
        <w:rPr>
          <w:rFonts w:ascii="ArialMT" w:hAnsi="ArialMT" w:cs="ArialMT"/>
          <w:b/>
          <w:bCs/>
          <w:vanish/>
          <w:color w:val="0000FF"/>
          <w:sz w:val="20"/>
          <w:szCs w:val="20"/>
        </w:rPr>
        <w:t>The following paragraphs should be used to identify the type of chilled water system.  Delete the first paragraph if not expanding an existing system.</w:t>
      </w:r>
      <w:r>
        <w:rPr>
          <w:rFonts w:ascii="ArialMT" w:hAnsi="ArialMT" w:cs="ArialMT"/>
          <w:b/>
          <w:bCs/>
          <w:vanish/>
          <w:color w:val="0000FF"/>
          <w:sz w:val="20"/>
          <w:szCs w:val="20"/>
        </w:rPr>
        <w:br/>
        <w:t>**********************************************************************************************************</w:t>
      </w:r>
    </w:p>
    <w:p w14:paraId="7F5C4BC3"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12D383E2"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the type and number of chillers to be provided.  If multiple chillers are provided, require chiller manufacturer to provide a central chiller control panel. Coordinate with the PW department for preference on number of chillers or back-up required.</w:t>
      </w:r>
      <w:r>
        <w:rPr>
          <w:rFonts w:ascii="ArialMT" w:hAnsi="ArialMT" w:cs="ArialMT"/>
          <w:b/>
          <w:bCs/>
          <w:vanish/>
          <w:color w:val="0000FF"/>
          <w:sz w:val="20"/>
          <w:szCs w:val="20"/>
        </w:rPr>
        <w:br/>
        <w:t>**********************************************************************************************************</w:t>
      </w:r>
    </w:p>
    <w:p w14:paraId="57773B4F"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142B271C"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[connection to and extension of the existing central] chilled water system for service to the building HVAC equipment.  [The existing chilled water system provides chilled water at [45] [_] degrees F ([7] [__] degrees C).  [Chilled water reset is not allowed.]  The existing system utilizes [2-way] [3-way] control valves.]  [Provide glycol/water mix for protection down to [  </w:t>
      </w:r>
      <w:proofErr w:type="gramStart"/>
      <w:r>
        <w:rPr>
          <w:rFonts w:ascii="ArialMT" w:hAnsi="ArialMT" w:cs="ArialMT"/>
          <w:sz w:val="20"/>
          <w:szCs w:val="20"/>
        </w:rPr>
        <w:t xml:space="preserve">  ]</w:t>
      </w:r>
      <w:proofErr w:type="gramEnd"/>
      <w:r>
        <w:rPr>
          <w:rFonts w:ascii="ArialMT" w:hAnsi="ArialMT" w:cs="ArialMT"/>
          <w:sz w:val="20"/>
          <w:szCs w:val="20"/>
        </w:rPr>
        <w:t xml:space="preserve"> degrees F.]</w:t>
      </w:r>
    </w:p>
    <w:p w14:paraId="568815BE"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[[centrifugal] [rotary screw] water-cooled] [[reciprocating] [rotary screw] [scroll] air-cooled] chiller[s] using a [variable primary] [primary/secondary] [variable speed] pumping system [and [cooling tower] [closed circuit cooler].  [Provide chillers with integral electronic compressor speed control for matching dynamic load conditions.]   Provide a cooling system for this facility consisting of [1] [2] </w:t>
      </w:r>
      <w:proofErr w:type="gramStart"/>
      <w:r>
        <w:rPr>
          <w:rFonts w:ascii="ArialMT" w:hAnsi="ArialMT" w:cs="ArialMT"/>
          <w:sz w:val="20"/>
          <w:szCs w:val="20"/>
        </w:rPr>
        <w:t>chiller[</w:t>
      </w:r>
      <w:proofErr w:type="gramEnd"/>
      <w:r>
        <w:rPr>
          <w:rFonts w:ascii="ArialMT" w:hAnsi="ArialMT" w:cs="ArialMT"/>
          <w:sz w:val="20"/>
          <w:szCs w:val="20"/>
        </w:rPr>
        <w:t>s, each] providing [100] [50] percent of the load.</w:t>
      </w:r>
    </w:p>
    <w:p w14:paraId="3DB6F92F"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40 degrees F is typically standard, 20 degrees F, 0 degrees F, or –20 degrees F (special) are optional.  Consult FEC office for guidance.</w:t>
      </w:r>
      <w:r>
        <w:rPr>
          <w:rFonts w:ascii="ArialMT" w:hAnsi="ArialMT" w:cs="ArialMT"/>
          <w:b/>
          <w:bCs/>
          <w:vanish/>
          <w:color w:val="0000FF"/>
          <w:sz w:val="20"/>
          <w:szCs w:val="20"/>
        </w:rPr>
        <w:br/>
        <w:t>**********************************************************************************************************</w:t>
      </w:r>
    </w:p>
    <w:p w14:paraId="2F824DC7"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34EE8CA2"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[Chiller(s) must operate in temperatures down to [  </w:t>
      </w:r>
      <w:proofErr w:type="gramStart"/>
      <w:r>
        <w:rPr>
          <w:rFonts w:ascii="ArialMT" w:hAnsi="ArialMT" w:cs="ArialMT"/>
          <w:sz w:val="20"/>
          <w:szCs w:val="20"/>
        </w:rPr>
        <w:t xml:space="preserve">  ]</w:t>
      </w:r>
      <w:proofErr w:type="gramEnd"/>
      <w:r>
        <w:rPr>
          <w:rFonts w:ascii="ArialMT" w:hAnsi="ArialMT" w:cs="ArialMT"/>
          <w:sz w:val="20"/>
          <w:szCs w:val="20"/>
        </w:rPr>
        <w:t xml:space="preserve"> degrees F.</w:t>
      </w:r>
    </w:p>
    <w:p w14:paraId="3E95E550"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heat recovery for [reheat] [domestic hot water].</w:t>
      </w:r>
    </w:p>
    <w:p w14:paraId="178B0C53"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insulation and vapor barrier on all chilled water equipment.</w:t>
      </w:r>
    </w:p>
    <w:p w14:paraId="4C6492F6"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chiller controls with BACnet communication protocol</w:t>
      </w:r>
      <w:r>
        <w:rPr>
          <w:rFonts w:ascii="ArialMT" w:hAnsi="ArialMT" w:cs="ArialMT"/>
          <w:i/>
          <w:iCs/>
          <w:sz w:val="20"/>
          <w:szCs w:val="20"/>
        </w:rPr>
        <w:t>.]</w:t>
      </w:r>
    </w:p>
    <w:p w14:paraId="4966B3CB"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start-up and operational testing of chiller equipment.</w:t>
      </w:r>
    </w:p>
    <w:p w14:paraId="040C5714"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factory assembled [galvanized steel with stainless steel basin] [stainless steel] [fiberglass] [cooling tower(s) with automatic chemical treatment system(s)] [closed circuit cooler(s)] to serve the water-cooled chillers.  [Provide with basin heater(s).]  [The load may be served by a single cooling tower.] [Provide [2] cooling towers, each serving [</w:t>
      </w:r>
      <w:proofErr w:type="gramStart"/>
      <w:r>
        <w:rPr>
          <w:rFonts w:ascii="ArialMT" w:hAnsi="ArialMT" w:cs="ArialMT"/>
          <w:sz w:val="20"/>
          <w:szCs w:val="20"/>
        </w:rPr>
        <w:t>50][</w:t>
      </w:r>
      <w:proofErr w:type="gramEnd"/>
      <w:r>
        <w:rPr>
          <w:rFonts w:ascii="ArialMT" w:hAnsi="ArialMT" w:cs="ArialMT"/>
          <w:sz w:val="20"/>
          <w:szCs w:val="20"/>
        </w:rPr>
        <w:t xml:space="preserve">   ] percent of the load.].]</w:t>
      </w:r>
    </w:p>
    <w:p w14:paraId="6875560E"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D303002 DIRECT EXPANSION SYSTEMS </w:t>
      </w:r>
    </w:p>
    <w:p w14:paraId="78735556"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4255A">
        <w:rPr>
          <w:rFonts w:ascii="ArialMT" w:hAnsi="ArialMT" w:cs="ArialMT"/>
          <w:b/>
          <w:bCs/>
          <w:vanish/>
          <w:color w:val="0000FF"/>
          <w:sz w:val="20"/>
          <w:szCs w:val="20"/>
        </w:rPr>
        <w:t xml:space="preserve"> </w:t>
      </w:r>
      <w:r>
        <w:rPr>
          <w:rFonts w:ascii="ArialMT" w:hAnsi="ArialMT" w:cs="ArialMT"/>
          <w:b/>
          <w:bCs/>
          <w:vanish/>
          <w:color w:val="0000FF"/>
          <w:sz w:val="20"/>
          <w:szCs w:val="20"/>
        </w:rPr>
        <w:t>This paragraph is intended for light commercial equipment.  See paragraph D305006 for requirements for Packaged Terminal Air Conditioners (PTACs) and small split systems and coordinate</w:t>
      </w:r>
      <w:r>
        <w:rPr>
          <w:rFonts w:ascii="ArialMT" w:hAnsi="ArialMT" w:cs="ArialMT"/>
          <w:b/>
          <w:bCs/>
          <w:vanish/>
          <w:color w:val="0000FF"/>
          <w:sz w:val="20"/>
          <w:szCs w:val="20"/>
        </w:rPr>
        <w:br/>
        <w:t>**********************************************************************************************************</w:t>
      </w:r>
    </w:p>
    <w:p w14:paraId="7B9DC6EA"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6EE4F6D1"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dedicated air-cooled direct expansion (DX) ductless split system [cooling only] [heat pump] unit for the NMCI/Telecom space.]</w:t>
      </w:r>
    </w:p>
    <w:p w14:paraId="60DD9AD9"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4255A">
        <w:rPr>
          <w:rFonts w:ascii="ArialMT" w:hAnsi="ArialMT" w:cs="ArialMT"/>
          <w:b/>
          <w:bCs/>
          <w:vanish/>
          <w:color w:val="0000FF"/>
          <w:sz w:val="20"/>
          <w:szCs w:val="20"/>
        </w:rPr>
        <w:t xml:space="preserve"> </w:t>
      </w:r>
      <w:r>
        <w:rPr>
          <w:rFonts w:ascii="ArialMT" w:hAnsi="ArialMT" w:cs="ArialMT"/>
          <w:b/>
          <w:bCs/>
          <w:vanish/>
          <w:color w:val="0000FF"/>
          <w:sz w:val="20"/>
          <w:szCs w:val="20"/>
        </w:rPr>
        <w:t>Water source heat pumps are one of the 3 recommended system options.  Delete water source heat pumps if not used.</w:t>
      </w:r>
      <w:r>
        <w:rPr>
          <w:rFonts w:ascii="ArialMT" w:hAnsi="ArialMT" w:cs="ArialMT"/>
          <w:b/>
          <w:bCs/>
          <w:vanish/>
          <w:color w:val="0000FF"/>
          <w:sz w:val="20"/>
          <w:szCs w:val="20"/>
        </w:rPr>
        <w:br/>
        <w:t>**********************************************************************************************************</w:t>
      </w:r>
    </w:p>
    <w:p w14:paraId="308A5877"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46709AB5"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vertical [water source] [ground-coupled] heat pump units with ducted air distribution and controls to serve the heating and cooling requirements of the facility. Provide one vertical [water source] [ground-coupled] heat pump unit for each zone and </w:t>
      </w:r>
      <w:proofErr w:type="gramStart"/>
      <w:r>
        <w:rPr>
          <w:rFonts w:ascii="ArialMT" w:hAnsi="ArialMT" w:cs="ArialMT"/>
          <w:sz w:val="20"/>
          <w:szCs w:val="20"/>
        </w:rPr>
        <w:t>locate</w:t>
      </w:r>
      <w:proofErr w:type="gramEnd"/>
      <w:r>
        <w:rPr>
          <w:rFonts w:ascii="ArialMT" w:hAnsi="ArialMT" w:cs="ArialMT"/>
          <w:sz w:val="20"/>
          <w:szCs w:val="20"/>
        </w:rPr>
        <w:t xml:space="preserve"> within a mechanical closet. The mechanical closet must be lockable and allow adequate space for maintenance. Provide each [water source] [ground-coupled] heat pump with a return filter grille to ease maintenance. If space does not allow for a vertical heat pump unit, provide horizontal heat pump units in the overhead with a means for removal and maintenance of the system through lockable access panels. Install flexible stainless steel piping connections (hose kits) between [water source] [ground-coupled] heat pumps and piping. Install vibration isolators on heat pumps. [Provide heat pumps with supplemental electric heaters.] [Provide heat pumps with desuperheaters and tanks for domestic water.]]</w:t>
      </w:r>
    </w:p>
    <w:p w14:paraId="68EBE48C"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a [</w:t>
      </w:r>
      <w:proofErr w:type="gramEnd"/>
      <w:r>
        <w:rPr>
          <w:rFonts w:ascii="ArialMT" w:hAnsi="ArialMT" w:cs="ArialMT"/>
          <w:sz w:val="20"/>
          <w:szCs w:val="20"/>
        </w:rPr>
        <w:t xml:space="preserve">air][water] cooled variable refrigerant flow (VRF) heating, cooling, ventilating and air conditioning system to serve the requirements of the facility. Design the system to provide the facility with simultaneous heating and cooling with heat recovery. Provide a complete and </w:t>
      </w:r>
      <w:proofErr w:type="gramStart"/>
      <w:r>
        <w:rPr>
          <w:rFonts w:ascii="ArialMT" w:hAnsi="ArialMT" w:cs="ArialMT"/>
          <w:sz w:val="20"/>
          <w:szCs w:val="20"/>
        </w:rPr>
        <w:t>useable</w:t>
      </w:r>
      <w:proofErr w:type="gramEnd"/>
      <w:r>
        <w:rPr>
          <w:rFonts w:ascii="ArialMT" w:hAnsi="ArialMT" w:cs="ArialMT"/>
          <w:sz w:val="20"/>
          <w:szCs w:val="20"/>
        </w:rPr>
        <w:t xml:space="preserve"> system consisting of VRF heat pump units, branch circuit controllers, VRF fan coil units, and associated controls. Incorporate zone thermostats for control of each fan coil.]</w:t>
      </w:r>
    </w:p>
    <w:p w14:paraId="3CABC40C"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 DISTRIBUTION SYSTEMS </w:t>
      </w:r>
    </w:p>
    <w:p w14:paraId="248CDD7F"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D304001 AIR DISTRIBUTION, HEATING &amp; COOLING </w:t>
      </w:r>
    </w:p>
    <w:p w14:paraId="4B1A2282"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NOTE: </w:t>
      </w:r>
      <w:r w:rsidR="00E4255A">
        <w:rPr>
          <w:rFonts w:ascii="ArialMT" w:hAnsi="ArialMT" w:cs="ArialMT"/>
          <w:b/>
          <w:bCs/>
          <w:vanish/>
          <w:color w:val="0000FF"/>
          <w:sz w:val="20"/>
          <w:szCs w:val="20"/>
        </w:rPr>
        <w:t xml:space="preserve"> </w:t>
      </w:r>
      <w:r>
        <w:rPr>
          <w:rFonts w:ascii="ArialMT" w:hAnsi="ArialMT" w:cs="ArialMT"/>
          <w:b/>
          <w:bCs/>
          <w:vanish/>
          <w:color w:val="0000FF"/>
          <w:sz w:val="20"/>
          <w:szCs w:val="20"/>
        </w:rPr>
        <w:t>Ductwork location should also be addressed in this paragraph if requirements are critical (such as must be concealed, or can be exposed).</w:t>
      </w:r>
      <w:r>
        <w:rPr>
          <w:rFonts w:ascii="ArialMT" w:hAnsi="ArialMT" w:cs="ArialMT"/>
          <w:b/>
          <w:bCs/>
          <w:vanish/>
          <w:color w:val="0000FF"/>
          <w:sz w:val="20"/>
          <w:szCs w:val="20"/>
        </w:rPr>
        <w:br/>
        <w:t>**********************************************************************************************************</w:t>
      </w:r>
    </w:p>
    <w:p w14:paraId="44AAB91B"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648C1F84"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galvanized steel] [double wall, </w:t>
      </w:r>
      <w:proofErr w:type="spellStart"/>
      <w:r>
        <w:rPr>
          <w:rFonts w:ascii="ArialMT" w:hAnsi="ArialMT" w:cs="ArialMT"/>
          <w:sz w:val="20"/>
          <w:szCs w:val="20"/>
        </w:rPr>
        <w:t>preinsulated</w:t>
      </w:r>
      <w:proofErr w:type="spellEnd"/>
      <w:r>
        <w:rPr>
          <w:rFonts w:ascii="ArialMT" w:hAnsi="ArialMT" w:cs="ArialMT"/>
          <w:sz w:val="20"/>
          <w:szCs w:val="20"/>
        </w:rPr>
        <w:t>] ductwork constructed, braced, reinforced, installed, supported, and sealed in accordance with the IMC and Sheet Metal and Air Conditioning Contractors' National Association (SMACNA) standards.</w:t>
      </w:r>
    </w:p>
    <w:p w14:paraId="6EA1FB91"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4255A">
        <w:rPr>
          <w:rFonts w:ascii="ArialMT" w:hAnsi="ArialMT" w:cs="ArialMT"/>
          <w:b/>
          <w:bCs/>
          <w:vanish/>
          <w:color w:val="0000FF"/>
          <w:sz w:val="20"/>
          <w:szCs w:val="20"/>
        </w:rPr>
        <w:t xml:space="preserve"> </w:t>
      </w:r>
      <w:r>
        <w:rPr>
          <w:rFonts w:ascii="ArialMT" w:hAnsi="ArialMT" w:cs="ArialMT"/>
          <w:b/>
          <w:bCs/>
          <w:vanish/>
          <w:color w:val="0000FF"/>
          <w:sz w:val="20"/>
          <w:szCs w:val="20"/>
        </w:rPr>
        <w:t>Variable air volume systems are one of the 3 recommended system options.  Delete VAV system if not used.</w:t>
      </w:r>
      <w:r>
        <w:rPr>
          <w:rFonts w:ascii="ArialMT" w:hAnsi="ArialMT" w:cs="ArialMT"/>
          <w:b/>
          <w:bCs/>
          <w:vanish/>
          <w:color w:val="0000FF"/>
          <w:sz w:val="20"/>
          <w:szCs w:val="20"/>
        </w:rPr>
        <w:br/>
        <w:t>**********************************************************************************************************</w:t>
      </w:r>
    </w:p>
    <w:p w14:paraId="573CEA1A"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56EDCE2C"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Variable Air Volume (VAV) system using ducted returns [and sound attenuators]. Locate VAV units above ceilings and allow for maintenance and removal of units through lockable access panels.]</w:t>
      </w:r>
    </w:p>
    <w:p w14:paraId="7C0B48F2"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Verify that Activity does not have a restriction on the use of Fan-powered VAV boxes due to increase maintenance of the box fans and filters.</w:t>
      </w:r>
      <w:r>
        <w:rPr>
          <w:rFonts w:ascii="ArialMT" w:hAnsi="ArialMT" w:cs="ArialMT"/>
          <w:b/>
          <w:bCs/>
          <w:vanish/>
          <w:color w:val="0000FF"/>
          <w:sz w:val="20"/>
          <w:szCs w:val="20"/>
        </w:rPr>
        <w:br/>
        <w:t>**********************************************************************************************************</w:t>
      </w:r>
    </w:p>
    <w:p w14:paraId="57FA5962"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3A43ECFA"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[Direct expansion variable air volume systems are not acceptable.]</w:t>
      </w:r>
    </w:p>
    <w:p w14:paraId="5AE70DA2"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VAV Units.]</w:t>
      </w:r>
    </w:p>
    <w:p w14:paraId="6D02DF62"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VAV Fan-Powered Units.]</w:t>
      </w:r>
    </w:p>
    <w:p w14:paraId="2240A325"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grilles, registers, and diffusers.  [Provide filter grilles for return air.] [Provide linear slot diffusers including boot.]</w:t>
      </w:r>
    </w:p>
    <w:p w14:paraId="24BF95B0"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D304002 STEAM DISTRIBUTION SYSTEMS </w:t>
      </w:r>
    </w:p>
    <w:p w14:paraId="64DE5335"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Exterior Buried Steam systems, see Section G30, </w:t>
      </w:r>
      <w:r>
        <w:rPr>
          <w:rFonts w:ascii="ArialMT" w:hAnsi="ArialMT" w:cs="ArialMT"/>
          <w:i/>
          <w:iCs/>
          <w:sz w:val="20"/>
          <w:szCs w:val="20"/>
        </w:rPr>
        <w:t>Site Civil/Mechanical Utilities</w:t>
      </w:r>
      <w:r>
        <w:rPr>
          <w:rFonts w:ascii="ArialMT" w:hAnsi="ArialMT" w:cs="ArialMT"/>
          <w:sz w:val="20"/>
          <w:szCs w:val="20"/>
        </w:rPr>
        <w:t>.</w:t>
      </w:r>
    </w:p>
    <w:p w14:paraId="402B0307"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insulated, steel steam and condensate piping to serve the HVAC equipment throughout the facility.  Steam piping and equipment must be in a self-contained dedicated steam equipment room or a wet mechanical room.</w:t>
      </w:r>
      <w:r w:rsidR="00E4255A">
        <w:rPr>
          <w:rFonts w:ascii="ArialMT" w:hAnsi="ArialMT" w:cs="ArialMT"/>
          <w:sz w:val="20"/>
          <w:szCs w:val="20"/>
        </w:rPr>
        <w:t xml:space="preserve"> </w:t>
      </w:r>
      <w:r>
        <w:rPr>
          <w:rFonts w:ascii="ArialMT" w:hAnsi="ArialMT" w:cs="ArialMT"/>
          <w:sz w:val="20"/>
          <w:szCs w:val="20"/>
        </w:rPr>
        <w:t xml:space="preserve"> Piping penetrations from this room into the facility must be tightly sealed to prevent steam from leaving the dedicated steam equipment room in the event of a steam pipe rupture. The dedicated steam equipment room must have double doors to the outside and be designed to contain steam in </w:t>
      </w:r>
      <w:proofErr w:type="gramStart"/>
      <w:r>
        <w:rPr>
          <w:rFonts w:ascii="ArialMT" w:hAnsi="ArialMT" w:cs="ArialMT"/>
          <w:sz w:val="20"/>
          <w:szCs w:val="20"/>
        </w:rPr>
        <w:t>event</w:t>
      </w:r>
      <w:proofErr w:type="gramEnd"/>
      <w:r>
        <w:rPr>
          <w:rFonts w:ascii="ArialMT" w:hAnsi="ArialMT" w:cs="ArialMT"/>
          <w:sz w:val="20"/>
          <w:szCs w:val="20"/>
        </w:rPr>
        <w:t xml:space="preserve"> of a leak.</w:t>
      </w:r>
    </w:p>
    <w:p w14:paraId="4D1FF72A"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D304003 HOT WATER DISTRIBUTION SYSTEMS </w:t>
      </w:r>
    </w:p>
    <w:p w14:paraId="5E59D502"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providing hydronic floor radiant heating systems in maintenance bays, hangar bays, and child development center infant, toddler, and preschool areas, for climate zones 3 through 8. Recommend insulating under floor slab of hydronic radiant heating system with R-10 insulation for weather zones 3 through 7, and R-15 insulation for climate zone 8.</w:t>
      </w:r>
    </w:p>
    <w:p w14:paraId="374D83E5"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33C9BDB0"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the variable primary pumping system option is selected, ensure packaged gas-fired condensing boiler option is selected in paragraph D302001 of this ESR.</w:t>
      </w:r>
      <w:r>
        <w:rPr>
          <w:rFonts w:ascii="ArialMT" w:hAnsi="ArialMT" w:cs="ArialMT"/>
          <w:b/>
          <w:bCs/>
          <w:vanish/>
          <w:color w:val="0000FF"/>
          <w:sz w:val="20"/>
          <w:szCs w:val="20"/>
        </w:rPr>
        <w:br/>
        <w:t>**********************************************************************************************************</w:t>
      </w:r>
    </w:p>
    <w:p w14:paraId="5D7EC614"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6381CF7F"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 climate zones 3 through 8 provide a supplemental, under-floor, hydronic radiant heating system in infant and pretoddler child activity rooms.  Provide under floor slab R-10 insulation for climate zones 3 through 7 and R-15 insulation for climate zone </w:t>
      </w:r>
      <w:proofErr w:type="gramStart"/>
      <w:r>
        <w:rPr>
          <w:rFonts w:ascii="ArialMT" w:hAnsi="ArialMT" w:cs="ArialMT"/>
          <w:sz w:val="20"/>
          <w:szCs w:val="20"/>
        </w:rPr>
        <w:t>8</w:t>
      </w:r>
      <w:proofErr w:type="gramEnd"/>
      <w:r>
        <w:rPr>
          <w:rFonts w:ascii="ArialMT" w:hAnsi="ArialMT" w:cs="ArialMT"/>
          <w:sz w:val="20"/>
          <w:szCs w:val="20"/>
        </w:rPr>
        <w:t>.</w:t>
      </w:r>
    </w:p>
    <w:p w14:paraId="06021A00"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exterior buried Hot Water Distribution Systems see Section G30, </w:t>
      </w:r>
      <w:r>
        <w:rPr>
          <w:rFonts w:ascii="ArialMT" w:hAnsi="ArialMT" w:cs="ArialMT"/>
          <w:i/>
          <w:iCs/>
          <w:sz w:val="20"/>
          <w:szCs w:val="20"/>
        </w:rPr>
        <w:t>Site Civil/Mechanical Utilities</w:t>
      </w:r>
      <w:r>
        <w:rPr>
          <w:rFonts w:ascii="ArialMT" w:hAnsi="ArialMT" w:cs="ArialMT"/>
          <w:sz w:val="20"/>
          <w:szCs w:val="20"/>
        </w:rPr>
        <w:t>.</w:t>
      </w:r>
    </w:p>
    <w:p w14:paraId="19AC23D4"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[variable </w:t>
      </w:r>
      <w:proofErr w:type="gramStart"/>
      <w:r>
        <w:rPr>
          <w:rFonts w:ascii="ArialMT" w:hAnsi="ArialMT" w:cs="ArialMT"/>
          <w:sz w:val="20"/>
          <w:szCs w:val="20"/>
        </w:rPr>
        <w:t>primary][</w:t>
      </w:r>
      <w:proofErr w:type="gramEnd"/>
      <w:r>
        <w:rPr>
          <w:rFonts w:ascii="ArialMT" w:hAnsi="ArialMT" w:cs="ArialMT"/>
          <w:sz w:val="20"/>
          <w:szCs w:val="20"/>
        </w:rPr>
        <w:t>primary/secondary][variable speed] pumping system to serve the HVAC hot water equipment throughout the facility. Provide insulated [steel][copper] hot water supply and return piping to serve the HVAC equipment throughout the facility.</w:t>
      </w:r>
    </w:p>
    <w:p w14:paraId="7BE74DD6"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control and shot type feeder for manual chemical feed for hot water piping system.</w:t>
      </w:r>
    </w:p>
    <w:p w14:paraId="73A1F211"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expansion tank for the hot water piping system.</w:t>
      </w:r>
    </w:p>
    <w:p w14:paraId="26D06299"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system flushing and start-up for the hot water piping system.</w:t>
      </w:r>
    </w:p>
    <w:p w14:paraId="23635B21"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D304005 GLYCOL DISTRIBUTION SYSTEMS </w:t>
      </w:r>
    </w:p>
    <w:p w14:paraId="35ABC8C5"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as specified for Chilled Water Distribution Systems see D304006.] </w:t>
      </w:r>
    </w:p>
    <w:p w14:paraId="1A4207DC"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D304006 CHILLED WATER DISTRIBUTION SYSTEMS </w:t>
      </w:r>
    </w:p>
    <w:p w14:paraId="723431AD"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exterior buried chilled water distribution systems, coordinate with Section G30, </w:t>
      </w:r>
      <w:r>
        <w:rPr>
          <w:rFonts w:ascii="ArialMT" w:hAnsi="ArialMT" w:cs="ArialMT"/>
          <w:i/>
          <w:iCs/>
          <w:sz w:val="20"/>
          <w:szCs w:val="20"/>
        </w:rPr>
        <w:t xml:space="preserve">Site </w:t>
      </w:r>
      <w:r>
        <w:rPr>
          <w:rFonts w:ascii="ArialMT" w:hAnsi="ArialMT" w:cs="ArialMT"/>
          <w:i/>
          <w:iCs/>
          <w:sz w:val="20"/>
          <w:szCs w:val="20"/>
        </w:rPr>
        <w:lastRenderedPageBreak/>
        <w:t>Civil/Mechanical Utilities</w:t>
      </w:r>
      <w:r>
        <w:rPr>
          <w:rFonts w:ascii="ArialMT" w:hAnsi="ArialMT" w:cs="ArialMT"/>
          <w:sz w:val="20"/>
          <w:szCs w:val="20"/>
        </w:rPr>
        <w:t>.]</w:t>
      </w:r>
    </w:p>
    <w:p w14:paraId="5762A0DF"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[variable primary] [primary/secondary] [variable speed] pumping system to serve the HVAC chilled water equipment throughout the facility.</w:t>
      </w:r>
    </w:p>
    <w:p w14:paraId="7DC281EB"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the PW department for preference on type of insulation required. </w:t>
      </w:r>
      <w:r>
        <w:rPr>
          <w:rFonts w:ascii="ArialMT" w:hAnsi="ArialMT" w:cs="ArialMT"/>
          <w:b/>
          <w:bCs/>
          <w:vanish/>
          <w:color w:val="0000FF"/>
          <w:sz w:val="20"/>
          <w:szCs w:val="20"/>
        </w:rPr>
        <w:br/>
        <w:t>**********************************************************************************************************</w:t>
      </w:r>
    </w:p>
    <w:p w14:paraId="29FF1EB1"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3B492BC4"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w:t>
      </w:r>
      <w:proofErr w:type="gramStart"/>
      <w:r>
        <w:rPr>
          <w:rFonts w:ascii="ArialMT" w:hAnsi="ArialMT" w:cs="ArialMT"/>
          <w:sz w:val="20"/>
          <w:szCs w:val="20"/>
        </w:rPr>
        <w:t>][</w:t>
      </w:r>
      <w:proofErr w:type="gramEnd"/>
      <w:r>
        <w:rPr>
          <w:rFonts w:ascii="ArialMT" w:hAnsi="ArialMT" w:cs="ArialMT"/>
          <w:sz w:val="20"/>
          <w:szCs w:val="20"/>
        </w:rPr>
        <w:t xml:space="preserve"> or ][copper] chilled water supply and return piping to serve the HVAC equipment throughout the facility.  Insulate piping with cellular glass insulation.</w:t>
      </w:r>
    </w:p>
    <w:p w14:paraId="0120D247"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control and shot type feeder for manual chemical feed for the chilled water piping system.</w:t>
      </w:r>
    </w:p>
    <w:p w14:paraId="632F99A0"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expansion tank for the chilled water piping system.</w:t>
      </w:r>
    </w:p>
    <w:p w14:paraId="342572EF"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system flushing and start-up for the chilled water piping system.</w:t>
      </w:r>
    </w:p>
    <w:p w14:paraId="1BB6F7AB"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D304007 EXHAUST SYSTEMS </w:t>
      </w:r>
    </w:p>
    <w:p w14:paraId="5548217A"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ductwork constructed, braced, reinforced, installed, supported, and sealed in accordance with the IMC and SMACNA standards.</w:t>
      </w:r>
    </w:p>
    <w:p w14:paraId="4B3934AA"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ducted exhaust ventilation systems and exhaust fans to serve all ventilated zones of the facility.  Provide [in-line] [rooftop] [ceiling] centrifugal exhaust fan[s].</w:t>
      </w:r>
    </w:p>
    <w:p w14:paraId="6CA63473"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D304008 AIR HANDLING UNITS </w:t>
      </w:r>
    </w:p>
    <w:p w14:paraId="3F36FFB0"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[central station] [constant volume] [variable volume] air handlers.  Provide with Minimum Efficiency Reporting Value (MERV) [8] [10] [13] [15] filters.</w:t>
      </w:r>
    </w:p>
    <w:p w14:paraId="3BFBC998"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Consideration should be given to the use of ultraviolet (UV) based on the activity's ability to maintain the equipment, since it enhances the equipment life and minimizes coil cleaning.  Also this will help avoid indoor air quality (IAQ) problems.</w:t>
      </w:r>
      <w:r>
        <w:rPr>
          <w:rFonts w:ascii="ArialMT" w:hAnsi="ArialMT" w:cs="ArialMT"/>
          <w:b/>
          <w:bCs/>
          <w:vanish/>
          <w:color w:val="0000FF"/>
          <w:sz w:val="20"/>
          <w:szCs w:val="20"/>
        </w:rPr>
        <w:br/>
        <w:t>**********************************************************************************************************</w:t>
      </w:r>
    </w:p>
    <w:p w14:paraId="4571B112"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35A2EC1C"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with ultraviolet disinfection system.]</w:t>
      </w:r>
    </w:p>
    <w:p w14:paraId="4648CF94"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D304090 OTHER DISTRIBUTION SYSTEMS </w:t>
      </w:r>
    </w:p>
    <w:p w14:paraId="72503FB2"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[in-line] [base mounted] circulating pumps [with variable frequency drives]. </w:t>
      </w:r>
    </w:p>
    <w:p w14:paraId="0BA89531"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 TERMINAL &amp; PACKAGE UNITS </w:t>
      </w:r>
    </w:p>
    <w:p w14:paraId="5D702049"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D305002 UNIT HEATERS </w:t>
      </w:r>
    </w:p>
    <w:p w14:paraId="31938628"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[cabinet] [unit] heaters to serve the heating requirements of </w:t>
      </w:r>
      <w:proofErr w:type="gramStart"/>
      <w:r>
        <w:rPr>
          <w:rFonts w:ascii="ArialMT" w:hAnsi="ArialMT" w:cs="ArialMT"/>
          <w:sz w:val="20"/>
          <w:szCs w:val="20"/>
        </w:rPr>
        <w:t>[ ]</w:t>
      </w:r>
      <w:proofErr w:type="gramEnd"/>
      <w:r>
        <w:rPr>
          <w:rFonts w:ascii="ArialMT" w:hAnsi="ArialMT" w:cs="ArialMT"/>
          <w:sz w:val="20"/>
          <w:szCs w:val="20"/>
        </w:rPr>
        <w:t xml:space="preserve"> area of the facility.]</w:t>
      </w:r>
    </w:p>
    <w:p w14:paraId="038E8D1E"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gas-fired infrared heaters to serve the heating requirements of </w:t>
      </w:r>
      <w:proofErr w:type="gramStart"/>
      <w:r>
        <w:rPr>
          <w:rFonts w:ascii="ArialMT" w:hAnsi="ArialMT" w:cs="ArialMT"/>
          <w:sz w:val="20"/>
          <w:szCs w:val="20"/>
        </w:rPr>
        <w:t>[ ]</w:t>
      </w:r>
      <w:proofErr w:type="gramEnd"/>
      <w:r>
        <w:rPr>
          <w:rFonts w:ascii="ArialMT" w:hAnsi="ArialMT" w:cs="ArialMT"/>
          <w:sz w:val="20"/>
          <w:szCs w:val="20"/>
        </w:rPr>
        <w:t xml:space="preserve"> area of the facility.] </w:t>
      </w:r>
    </w:p>
    <w:p w14:paraId="0EC8708C"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D305003 FAN COIL UNITS </w:t>
      </w:r>
    </w:p>
    <w:p w14:paraId="3A926AA0"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Fan coil units are one of the 3 recommended system options.  Delete fan coil units if not used.</w:t>
      </w:r>
      <w:r>
        <w:rPr>
          <w:rFonts w:ascii="ArialMT" w:hAnsi="ArialMT" w:cs="ArialMT"/>
          <w:b/>
          <w:bCs/>
          <w:vanish/>
          <w:color w:val="0000FF"/>
          <w:sz w:val="20"/>
          <w:szCs w:val="20"/>
        </w:rPr>
        <w:br/>
        <w:t>**********************************************************************************************************</w:t>
      </w:r>
    </w:p>
    <w:p w14:paraId="1E1145B5"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17ABF278"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4-pipe vertical type fan coil units and controls to serve the heating and cooling requirements of the facility. Provide one vertical fan coil unit for each zone and locate within a mechanical closet. The mechanical closet must be lockable and allow adequate space for maintenance. Provide each fan coil unit with a return filter grille to ease maintenance requirements. If space does not allow for vertical fan coil units, provide horizontal fan coil </w:t>
      </w:r>
      <w:proofErr w:type="gramStart"/>
      <w:r>
        <w:rPr>
          <w:rFonts w:ascii="ArialMT" w:hAnsi="ArialMT" w:cs="ArialMT"/>
          <w:sz w:val="20"/>
          <w:szCs w:val="20"/>
        </w:rPr>
        <w:t>units in the</w:t>
      </w:r>
      <w:proofErr w:type="gramEnd"/>
      <w:r>
        <w:rPr>
          <w:rFonts w:ascii="ArialMT" w:hAnsi="ArialMT" w:cs="ArialMT"/>
          <w:sz w:val="20"/>
          <w:szCs w:val="20"/>
        </w:rPr>
        <w:t xml:space="preserve"> overhead with a means for removal and maintenance of the units through lockable access panels. Provide auxiliary drain pans below valves and appurtenances to prevent piping leaks and condensate forming on chilled water piping from damaging ceilings.]</w:t>
      </w:r>
    </w:p>
    <w:p w14:paraId="3A81A489"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[D305004 FIN TUBE RADIATORS] [CONVECTORS] </w:t>
      </w:r>
    </w:p>
    <w:p w14:paraId="1A91E56D"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[fin tube radiators] [convectors] for heating [  </w:t>
      </w:r>
      <w:proofErr w:type="gramStart"/>
      <w:r>
        <w:rPr>
          <w:rFonts w:ascii="ArialMT" w:hAnsi="ArialMT" w:cs="ArialMT"/>
          <w:sz w:val="20"/>
          <w:szCs w:val="20"/>
        </w:rPr>
        <w:t xml:space="preserve">  ]</w:t>
      </w:r>
      <w:proofErr w:type="gramEnd"/>
      <w:r>
        <w:rPr>
          <w:rFonts w:ascii="ArialMT" w:hAnsi="ArialMT" w:cs="ArialMT"/>
          <w:sz w:val="20"/>
          <w:szCs w:val="20"/>
        </w:rPr>
        <w:t xml:space="preserve"> spaces.] </w:t>
      </w:r>
    </w:p>
    <w:p w14:paraId="6A1B4F47"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D305005 ELECTRIC HEATING </w:t>
      </w:r>
    </w:p>
    <w:p w14:paraId="34BD37FA"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electric [unit heaters] [baseboard] [wall] [infrared] heaters for heating [  </w:t>
      </w:r>
      <w:proofErr w:type="gramStart"/>
      <w:r>
        <w:rPr>
          <w:rFonts w:ascii="ArialMT" w:hAnsi="ArialMT" w:cs="ArialMT"/>
          <w:sz w:val="20"/>
          <w:szCs w:val="20"/>
        </w:rPr>
        <w:t xml:space="preserve">  ]</w:t>
      </w:r>
      <w:proofErr w:type="gramEnd"/>
      <w:r>
        <w:rPr>
          <w:rFonts w:ascii="ArialMT" w:hAnsi="ArialMT" w:cs="ArialMT"/>
          <w:sz w:val="20"/>
          <w:szCs w:val="20"/>
        </w:rPr>
        <w:t xml:space="preserve"> spaces.] </w:t>
      </w:r>
    </w:p>
    <w:p w14:paraId="5A193BD9"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D305006 PACKAGE UNITS </w:t>
      </w:r>
    </w:p>
    <w:p w14:paraId="1519DF5B"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100 percent Outside Air Makeup Air Conditioning Units to precondition outside air prior to distributing to [central station air handling] [fan-coil </w:t>
      </w:r>
      <w:proofErr w:type="gramStart"/>
      <w:r>
        <w:rPr>
          <w:rFonts w:ascii="ArialMT" w:hAnsi="ArialMT" w:cs="ArialMT"/>
          <w:sz w:val="20"/>
          <w:szCs w:val="20"/>
        </w:rPr>
        <w:t>units][</w:t>
      </w:r>
      <w:proofErr w:type="gramEnd"/>
      <w:r>
        <w:rPr>
          <w:rFonts w:ascii="ArialMT" w:hAnsi="ArialMT" w:cs="ArialMT"/>
          <w:sz w:val="20"/>
          <w:szCs w:val="20"/>
        </w:rPr>
        <w:t>terminal units].]</w:t>
      </w:r>
    </w:p>
    <w:p w14:paraId="1C9A72A3"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 CONTROLS AND INSTRUMENTATION </w:t>
      </w:r>
    </w:p>
    <w:p w14:paraId="6C2CA31D"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4255A">
        <w:rPr>
          <w:rFonts w:ascii="ArialMT" w:hAnsi="ArialMT" w:cs="ArialMT"/>
          <w:b/>
          <w:bCs/>
          <w:vanish/>
          <w:color w:val="0000FF"/>
          <w:sz w:val="20"/>
          <w:szCs w:val="20"/>
        </w:rPr>
        <w:t xml:space="preserve"> </w:t>
      </w:r>
      <w:r>
        <w:rPr>
          <w:rFonts w:ascii="ArialMT" w:hAnsi="ArialMT" w:cs="ArialMT"/>
          <w:b/>
          <w:bCs/>
          <w:vanish/>
          <w:color w:val="0000FF"/>
          <w:sz w:val="20"/>
          <w:szCs w:val="20"/>
        </w:rPr>
        <w:t>Where the Engineering Field Division, Engineering Field Activity, Station, or Command has an Approved Justification and Authorization (J &amp; A) document allowing the use of a single Direct Digital Controls provider; and where all previous J &amp; A bid experiences have indicated that bid pricing remains reasonable and competitive; then use the second bracketed sentence.  In other cases, use the first bracketed sentence.  For small DX systems, delete this section in its entirety and include a short write-up describing the desired control scenario.</w:t>
      </w:r>
      <w:r>
        <w:rPr>
          <w:rFonts w:ascii="ArialMT" w:hAnsi="ArialMT" w:cs="ArialMT"/>
          <w:b/>
          <w:bCs/>
          <w:vanish/>
          <w:color w:val="0000FF"/>
          <w:sz w:val="20"/>
          <w:szCs w:val="20"/>
        </w:rPr>
        <w:br/>
        <w:t>**********************************************************************************************************</w:t>
      </w:r>
    </w:p>
    <w:p w14:paraId="077A8FD1"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03EBF735"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HVAC CONTROLS </w:t>
      </w:r>
    </w:p>
    <w:p w14:paraId="0E775B2A"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1.1 DIRECT DIGITAL CONTROLS (DDC) </w:t>
      </w:r>
    </w:p>
    <w:p w14:paraId="13F1027F"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new standalone DDC systems select the first bracketed option.  For new DDC systems intended to integrate into an existing Utility Monitoring and Control System (UMCS) select the second bracketed option.</w:t>
      </w:r>
      <w:r>
        <w:rPr>
          <w:rFonts w:ascii="ArialMT" w:hAnsi="ArialMT" w:cs="ArialMT"/>
          <w:b/>
          <w:bCs/>
          <w:vanish/>
          <w:color w:val="0000FF"/>
          <w:sz w:val="20"/>
          <w:szCs w:val="20"/>
        </w:rPr>
        <w:br/>
      </w:r>
      <w:r>
        <w:rPr>
          <w:rFonts w:ascii="ArialMT" w:hAnsi="ArialMT" w:cs="ArialMT"/>
          <w:b/>
          <w:bCs/>
          <w:vanish/>
          <w:color w:val="0000FF"/>
          <w:sz w:val="20"/>
          <w:szCs w:val="20"/>
        </w:rPr>
        <w:br/>
        <w:t>In situations where a device requires local control only, even if a DDC system is being provided, identify those specific devices in this Section.</w:t>
      </w:r>
      <w:r>
        <w:rPr>
          <w:rFonts w:ascii="ArialMT" w:hAnsi="ArialMT" w:cs="ArialMT"/>
          <w:b/>
          <w:bCs/>
          <w:vanish/>
          <w:color w:val="0000FF"/>
          <w:sz w:val="20"/>
          <w:szCs w:val="20"/>
        </w:rPr>
        <w:br/>
        <w:t>**********************************************************************************************************</w:t>
      </w:r>
    </w:p>
    <w:p w14:paraId="1FF98A5F"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433E15E2"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Direct Digital Control (DDC) system [to comply with UFGS 23 09 00, </w:t>
      </w:r>
      <w:r>
        <w:rPr>
          <w:rFonts w:ascii="ArialMT" w:hAnsi="ArialMT" w:cs="ArialMT"/>
          <w:i/>
          <w:iCs/>
          <w:sz w:val="20"/>
          <w:szCs w:val="20"/>
        </w:rPr>
        <w:t xml:space="preserve">Instrumentation and Control for HVAC, </w:t>
      </w:r>
      <w:r>
        <w:rPr>
          <w:rFonts w:ascii="ArialMT" w:hAnsi="ArialMT" w:cs="ArialMT"/>
          <w:sz w:val="20"/>
          <w:szCs w:val="20"/>
        </w:rPr>
        <w:t xml:space="preserve">UFGS 23 09 23.02, </w:t>
      </w:r>
      <w:r>
        <w:rPr>
          <w:rFonts w:ascii="ArialMT" w:hAnsi="ArialMT" w:cs="ArialMT"/>
          <w:i/>
          <w:iCs/>
          <w:sz w:val="20"/>
          <w:szCs w:val="20"/>
        </w:rPr>
        <w:t xml:space="preserve">BACnet Direct Digital Control for HVAC and Other Building Control Systems, </w:t>
      </w:r>
      <w:r>
        <w:rPr>
          <w:rFonts w:ascii="ArialMT" w:hAnsi="ArialMT" w:cs="ArialMT"/>
          <w:sz w:val="20"/>
          <w:szCs w:val="20"/>
        </w:rPr>
        <w:t xml:space="preserve">UFGS 23 09 13, </w:t>
      </w:r>
      <w:r>
        <w:rPr>
          <w:rFonts w:ascii="ArialMT" w:hAnsi="ArialMT" w:cs="ArialMT"/>
          <w:i/>
          <w:iCs/>
          <w:sz w:val="20"/>
          <w:szCs w:val="20"/>
        </w:rPr>
        <w:t>Instrumentation and Control Devices for HVAC</w:t>
      </w:r>
      <w:r>
        <w:rPr>
          <w:rFonts w:ascii="ArialMT" w:hAnsi="ArialMT" w:cs="ArialMT"/>
          <w:sz w:val="20"/>
          <w:szCs w:val="20"/>
        </w:rPr>
        <w:t xml:space="preserve">, and BACnet communication </w:t>
      </w:r>
      <w:proofErr w:type="gramStart"/>
      <w:r>
        <w:rPr>
          <w:rFonts w:ascii="ArialMT" w:hAnsi="ArialMT" w:cs="ArialMT"/>
          <w:sz w:val="20"/>
          <w:szCs w:val="20"/>
        </w:rPr>
        <w:t>protocol][</w:t>
      </w:r>
      <w:proofErr w:type="gramEnd"/>
      <w:r>
        <w:rPr>
          <w:rFonts w:ascii="ArialMT" w:hAnsi="ArialMT" w:cs="ArialMT"/>
          <w:sz w:val="20"/>
          <w:szCs w:val="20"/>
        </w:rPr>
        <w:t>to comply with _____] for the facility.]</w:t>
      </w:r>
    </w:p>
    <w:p w14:paraId="3FDA61DB"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integration of the new Direct Digital Control (DDC) system to the existing [_____] Utility Monitoring and Control System (UMCS) in compliance with the UMCS's Risk Management Framework (RMF) Authorization to Operate (ATO) [, _____,] and UFGS 25 10 10, </w:t>
      </w:r>
      <w:r>
        <w:rPr>
          <w:rFonts w:ascii="ArialMT" w:hAnsi="ArialMT" w:cs="ArialMT"/>
          <w:i/>
          <w:iCs/>
          <w:sz w:val="20"/>
          <w:szCs w:val="20"/>
        </w:rPr>
        <w:t>Utility Monitoring and Control System (UMCS) Front End and Integration</w:t>
      </w:r>
      <w:r>
        <w:rPr>
          <w:rFonts w:ascii="ArialMT" w:hAnsi="ArialMT" w:cs="ArialMT"/>
          <w:sz w:val="20"/>
          <w:szCs w:val="20"/>
        </w:rPr>
        <w:t>.]</w:t>
      </w:r>
    </w:p>
    <w:p w14:paraId="37E8F7D5"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partial direct digital control (DDC) system [to comply with UFGS 23 09 00, </w:t>
      </w:r>
      <w:r>
        <w:rPr>
          <w:rFonts w:ascii="ArialMT" w:hAnsi="ArialMT" w:cs="ArialMT"/>
          <w:i/>
          <w:iCs/>
          <w:sz w:val="20"/>
          <w:szCs w:val="20"/>
        </w:rPr>
        <w:t xml:space="preserve">Instrumentation and Control for HVAC, </w:t>
      </w:r>
      <w:r>
        <w:rPr>
          <w:rFonts w:ascii="ArialMT" w:hAnsi="ArialMT" w:cs="ArialMT"/>
          <w:sz w:val="20"/>
          <w:szCs w:val="20"/>
        </w:rPr>
        <w:t xml:space="preserve">UFGS 23 09 23.02 </w:t>
      </w:r>
      <w:r>
        <w:rPr>
          <w:rFonts w:ascii="ArialMT" w:hAnsi="ArialMT" w:cs="ArialMT"/>
          <w:i/>
          <w:iCs/>
          <w:sz w:val="20"/>
          <w:szCs w:val="20"/>
        </w:rPr>
        <w:t xml:space="preserve">BACnet Direct Digital Control for HVAC and Other Building Control Systems, </w:t>
      </w:r>
      <w:r>
        <w:rPr>
          <w:rFonts w:ascii="ArialMT" w:hAnsi="ArialMT" w:cs="ArialMT"/>
          <w:sz w:val="20"/>
          <w:szCs w:val="20"/>
        </w:rPr>
        <w:t xml:space="preserve">UFGS 23 09 13, </w:t>
      </w:r>
      <w:r>
        <w:rPr>
          <w:rFonts w:ascii="ArialMT" w:hAnsi="ArialMT" w:cs="ArialMT"/>
          <w:i/>
          <w:iCs/>
          <w:sz w:val="20"/>
          <w:szCs w:val="20"/>
        </w:rPr>
        <w:t xml:space="preserve">Instrumentation and Control Devices for </w:t>
      </w:r>
      <w:proofErr w:type="gramStart"/>
      <w:r>
        <w:rPr>
          <w:rFonts w:ascii="ArialMT" w:hAnsi="ArialMT" w:cs="ArialMT"/>
          <w:i/>
          <w:iCs/>
          <w:sz w:val="20"/>
          <w:szCs w:val="20"/>
        </w:rPr>
        <w:t>HVAC</w:t>
      </w:r>
      <w:r>
        <w:rPr>
          <w:rFonts w:ascii="ArialMT" w:hAnsi="ArialMT" w:cs="ArialMT"/>
          <w:sz w:val="20"/>
          <w:szCs w:val="20"/>
        </w:rPr>
        <w:t>][</w:t>
      </w:r>
      <w:proofErr w:type="gramEnd"/>
      <w:r>
        <w:rPr>
          <w:rFonts w:ascii="ArialMT" w:hAnsi="ArialMT" w:cs="ArialMT"/>
          <w:sz w:val="20"/>
          <w:szCs w:val="20"/>
        </w:rPr>
        <w:t>to comply with _______] for the facility.  Provide integration of the new DDC to the existing operator workstation and the existing operator workstation software.  The existing DDC system was manufactured by [_______].]  [The DDC system must be (make/model).]</w:t>
      </w:r>
    </w:p>
    <w:p w14:paraId="7F788815"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Operator workstation requirements depend on project.  Always provide a notebook computer as a minimum with the manufacturer's full application software and license.</w:t>
      </w:r>
      <w:r>
        <w:rPr>
          <w:rFonts w:ascii="ArialMT" w:hAnsi="ArialMT" w:cs="ArialMT"/>
          <w:b/>
          <w:bCs/>
          <w:vanish/>
          <w:color w:val="0000FF"/>
          <w:sz w:val="20"/>
          <w:szCs w:val="20"/>
        </w:rPr>
        <w:br/>
        <w:t>**********************************************************************************************************</w:t>
      </w:r>
    </w:p>
    <w:p w14:paraId="4E098870"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5EC3FF70"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[operator workstation] [and] [notebook] computer[s] and complete application software with all licenses.]</w:t>
      </w:r>
    </w:p>
    <w:p w14:paraId="202B41DB"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meters, monitored by DDC, on the following incoming utilities of the building: steam and gas.  [Tie the gas meter into the existing Advanced Metering Infrastructure (AMI) metering system.]  For electrical energy monitoring refer to Section D50, </w:t>
      </w:r>
      <w:r>
        <w:rPr>
          <w:rFonts w:ascii="ArialMT" w:hAnsi="ArialMT" w:cs="ArialMT"/>
          <w:i/>
          <w:iCs/>
          <w:sz w:val="20"/>
          <w:szCs w:val="20"/>
        </w:rPr>
        <w:t>Electrical</w:t>
      </w:r>
      <w:r>
        <w:rPr>
          <w:rFonts w:ascii="ArialMT" w:hAnsi="ArialMT" w:cs="ArialMT"/>
          <w:sz w:val="20"/>
          <w:szCs w:val="20"/>
        </w:rPr>
        <w:t xml:space="preserve">, paragraph entitled, </w:t>
      </w:r>
      <w:r>
        <w:rPr>
          <w:rFonts w:ascii="ArialMT" w:hAnsi="ArialMT" w:cs="ArialMT"/>
          <w:i/>
          <w:iCs/>
          <w:sz w:val="20"/>
          <w:szCs w:val="20"/>
        </w:rPr>
        <w:t>Service Entrance Equipment</w:t>
      </w:r>
      <w:r>
        <w:rPr>
          <w:rFonts w:ascii="ArialMT" w:hAnsi="ArialMT" w:cs="ArialMT"/>
          <w:sz w:val="20"/>
          <w:szCs w:val="20"/>
        </w:rPr>
        <w:t xml:space="preserve">. For potable water meter refer to Section G30, </w:t>
      </w:r>
      <w:r>
        <w:rPr>
          <w:rFonts w:ascii="ArialMT" w:hAnsi="ArialMT" w:cs="ArialMT"/>
          <w:i/>
          <w:iCs/>
          <w:sz w:val="20"/>
          <w:szCs w:val="20"/>
        </w:rPr>
        <w:t>Site Civil/Mechanical Utilities</w:t>
      </w:r>
      <w:r>
        <w:rPr>
          <w:rFonts w:ascii="ArialMT" w:hAnsi="ArialMT" w:cs="ArialMT"/>
          <w:sz w:val="20"/>
          <w:szCs w:val="20"/>
        </w:rPr>
        <w:t xml:space="preserve">, paragraph entitled, </w:t>
      </w:r>
      <w:r>
        <w:rPr>
          <w:rFonts w:ascii="ArialMT" w:hAnsi="ArialMT" w:cs="ArialMT"/>
          <w:i/>
          <w:iCs/>
          <w:sz w:val="20"/>
          <w:szCs w:val="20"/>
        </w:rPr>
        <w:t>Potable Water Distribution</w:t>
      </w:r>
      <w:r>
        <w:rPr>
          <w:rFonts w:ascii="ArialMT" w:hAnsi="ArialMT" w:cs="ArialMT"/>
          <w:sz w:val="20"/>
          <w:szCs w:val="20"/>
        </w:rPr>
        <w:t>. [Set up trend reports to record data daily and store values in the operator workstation DDC computer.] [Set up trend reports to record data daily and store values in the ASHRAE Standard 135 building controller for later retrieval by either a notebook computer or an operator workstation DDC computer.]</w:t>
      </w:r>
    </w:p>
    <w:p w14:paraId="368A440D"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E4255A">
        <w:rPr>
          <w:rFonts w:ascii="ArialMT" w:hAnsi="ArialMT" w:cs="ArialMT"/>
          <w:b/>
          <w:bCs/>
          <w:vanish/>
          <w:color w:val="0000FF"/>
          <w:sz w:val="20"/>
          <w:szCs w:val="20"/>
        </w:rPr>
        <w:br/>
      </w:r>
      <w:r>
        <w:rPr>
          <w:rFonts w:ascii="ArialMT" w:hAnsi="ArialMT" w:cs="ArialMT"/>
          <w:b/>
          <w:bCs/>
          <w:vanish/>
          <w:color w:val="0000FF"/>
          <w:sz w:val="20"/>
          <w:szCs w:val="20"/>
        </w:rPr>
        <w:t>NOTE:  Refer to ASHRAE 189.1-2011 Tables 7.3.3.1A and 7.3.3.1B for Energy Source and Subsystem Thresholds.</w:t>
      </w:r>
      <w:r>
        <w:rPr>
          <w:rFonts w:ascii="ArialMT" w:hAnsi="ArialMT" w:cs="ArialMT"/>
          <w:b/>
          <w:bCs/>
          <w:vanish/>
          <w:color w:val="0000FF"/>
          <w:sz w:val="20"/>
          <w:szCs w:val="20"/>
        </w:rPr>
        <w:br/>
        <w:t>**********************************************************************************************************</w:t>
      </w:r>
    </w:p>
    <w:p w14:paraId="71618A3A"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4600B54D"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meters, monitored by DDC, on the following subsystems for steam, </w:t>
      </w:r>
      <w:proofErr w:type="gramStart"/>
      <w:r>
        <w:rPr>
          <w:rFonts w:ascii="ArialMT" w:hAnsi="ArialMT" w:cs="ArialMT"/>
          <w:sz w:val="20"/>
          <w:szCs w:val="20"/>
        </w:rPr>
        <w:t>gas</w:t>
      </w:r>
      <w:proofErr w:type="gramEnd"/>
      <w:r>
        <w:rPr>
          <w:rFonts w:ascii="ArialMT" w:hAnsi="ArialMT" w:cs="ArialMT"/>
          <w:sz w:val="20"/>
          <w:szCs w:val="20"/>
        </w:rPr>
        <w:t xml:space="preserve"> and water: HVAC and processes.]</w:t>
      </w:r>
    </w:p>
    <w:p w14:paraId="243829E9"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E4255A">
        <w:rPr>
          <w:rFonts w:ascii="ArialMT" w:hAnsi="ArialMT" w:cs="ArialMT"/>
          <w:b/>
          <w:bCs/>
          <w:vanish/>
          <w:color w:val="0000FF"/>
          <w:sz w:val="20"/>
          <w:szCs w:val="20"/>
        </w:rPr>
        <w:br/>
      </w:r>
      <w:r>
        <w:rPr>
          <w:rFonts w:ascii="ArialMT" w:hAnsi="ArialMT" w:cs="ArialMT"/>
          <w:b/>
          <w:bCs/>
          <w:vanish/>
          <w:color w:val="0000FF"/>
          <w:sz w:val="20"/>
          <w:szCs w:val="20"/>
        </w:rPr>
        <w:t>NOTE:  Refer to ASHRAE 189.1-2011 Tables 6.3.3A and 6.3.3B for Water Supply Source and Subsystem Sub-Metering Thresholds.</w:t>
      </w:r>
      <w:r>
        <w:rPr>
          <w:rFonts w:ascii="ArialMT" w:hAnsi="ArialMT" w:cs="ArialMT"/>
          <w:b/>
          <w:bCs/>
          <w:vanish/>
          <w:color w:val="0000FF"/>
          <w:sz w:val="20"/>
          <w:szCs w:val="20"/>
        </w:rPr>
        <w:br/>
        <w:t>**********************************************************************************************************</w:t>
      </w:r>
    </w:p>
    <w:p w14:paraId="19AC8871"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0AFB24C1"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meters, monitored by DDC, on the following subsystems for potable water and reclaimed water: [cooling tower[s] makeup and blowdown] [, evaporative cooler[s]] [, steam boiler[s]] [, hot-water </w:t>
      </w:r>
      <w:r>
        <w:rPr>
          <w:rFonts w:ascii="ArialMT" w:hAnsi="ArialMT" w:cs="ArialMT"/>
          <w:sz w:val="20"/>
          <w:szCs w:val="20"/>
        </w:rPr>
        <w:lastRenderedPageBreak/>
        <w:t>boiler[s]] [, processes].]</w:t>
      </w:r>
    </w:p>
    <w:p w14:paraId="5FBDC173"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meter, monitored by DDC, on reclaimed water subsystem used for total irrigated landscape area with controller[s].]</w:t>
      </w:r>
    </w:p>
    <w:p w14:paraId="0DB3419B"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meter of potable water subsystem used for total irrigated landscape area with controller[s], refer to Section G20, </w:t>
      </w:r>
      <w:r>
        <w:rPr>
          <w:rFonts w:ascii="ArialMT" w:hAnsi="ArialMT" w:cs="ArialMT"/>
          <w:i/>
          <w:iCs/>
          <w:sz w:val="20"/>
          <w:szCs w:val="20"/>
        </w:rPr>
        <w:t>Site Improvements</w:t>
      </w:r>
      <w:r>
        <w:rPr>
          <w:rFonts w:ascii="ArialMT" w:hAnsi="ArialMT" w:cs="ArialMT"/>
          <w:sz w:val="20"/>
          <w:szCs w:val="20"/>
        </w:rPr>
        <w:t xml:space="preserve">, paragraph entitled, </w:t>
      </w:r>
      <w:r>
        <w:rPr>
          <w:rFonts w:ascii="ArialMT" w:hAnsi="ArialMT" w:cs="ArialMT"/>
          <w:i/>
          <w:iCs/>
          <w:sz w:val="20"/>
          <w:szCs w:val="20"/>
        </w:rPr>
        <w:t>Irrigation Systems</w:t>
      </w:r>
      <w:r>
        <w:rPr>
          <w:rFonts w:ascii="ArialMT" w:hAnsi="ArialMT" w:cs="ArialMT"/>
          <w:sz w:val="20"/>
          <w:szCs w:val="20"/>
        </w:rPr>
        <w:t>.]</w:t>
      </w:r>
    </w:p>
    <w:p w14:paraId="30E88F35"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ASHRAE Standard 135 building controller as the main interface for the building control system.</w:t>
      </w:r>
    </w:p>
    <w:p w14:paraId="64CAAB0F"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E4255A">
        <w:rPr>
          <w:rFonts w:ascii="ArialMT" w:hAnsi="ArialMT" w:cs="ArialMT"/>
          <w:b/>
          <w:bCs/>
          <w:vanish/>
          <w:color w:val="0000FF"/>
          <w:sz w:val="20"/>
          <w:szCs w:val="20"/>
        </w:rPr>
        <w:br/>
      </w:r>
      <w:r>
        <w:rPr>
          <w:rFonts w:ascii="ArialMT" w:hAnsi="ArialMT" w:cs="ArialMT"/>
          <w:b/>
          <w:bCs/>
          <w:vanish/>
          <w:color w:val="0000FF"/>
          <w:sz w:val="20"/>
          <w:szCs w:val="20"/>
        </w:rPr>
        <w:t>NOTE:  Coordinate with Base Commanding Officer and local CIO.</w:t>
      </w:r>
      <w:r>
        <w:rPr>
          <w:rFonts w:ascii="ArialMT" w:hAnsi="ArialMT" w:cs="ArialMT"/>
          <w:b/>
          <w:bCs/>
          <w:vanish/>
          <w:color w:val="0000FF"/>
          <w:sz w:val="20"/>
          <w:szCs w:val="20"/>
        </w:rPr>
        <w:br/>
        <w:t>**********************************************************************************************************</w:t>
      </w:r>
    </w:p>
    <w:p w14:paraId="4E11513D"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0966757E"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patch panel in the mechanical equipment room for ease of connection and disconnection of equipment.]</w:t>
      </w:r>
    </w:p>
    <w:p w14:paraId="3AB61E91"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E4255A">
        <w:rPr>
          <w:rFonts w:ascii="ArialMT" w:hAnsi="ArialMT" w:cs="ArialMT"/>
          <w:b/>
          <w:bCs/>
          <w:vanish/>
          <w:color w:val="0000FF"/>
          <w:sz w:val="20"/>
          <w:szCs w:val="20"/>
        </w:rPr>
        <w:br/>
      </w:r>
      <w:r>
        <w:rPr>
          <w:rFonts w:ascii="ArialMT" w:hAnsi="ArialMT" w:cs="ArialMT"/>
          <w:b/>
          <w:bCs/>
          <w:vanish/>
          <w:color w:val="0000FF"/>
          <w:sz w:val="20"/>
          <w:szCs w:val="20"/>
        </w:rPr>
        <w:t>NOTE:  Alarm is to notify unauthorized access.</w:t>
      </w:r>
      <w:r>
        <w:rPr>
          <w:rFonts w:ascii="ArialMT" w:hAnsi="ArialMT" w:cs="ArialMT"/>
          <w:b/>
          <w:bCs/>
          <w:vanish/>
          <w:color w:val="0000FF"/>
          <w:sz w:val="20"/>
          <w:szCs w:val="20"/>
        </w:rPr>
        <w:br/>
        <w:t>**********************************************************************************************************</w:t>
      </w:r>
    </w:p>
    <w:p w14:paraId="77BF7890"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07812EFE"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panels with locks and alarms. The alarms must include [both] [a flashing light] [and] [an audible alarm] inside the mechanical room. The alarms must also be a networked alarm (e.g. switch connected to controller DI) with alarm events recorded remotely for a period not less than one year.</w:t>
      </w:r>
    </w:p>
    <w:p w14:paraId="01F4715C"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flow rate meters, monitored by the DDC system, for central and chilled water flow.]</w:t>
      </w:r>
    </w:p>
    <w:p w14:paraId="19AD9AE9"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handlers and all terminal units, including VAV boxes, with discharge/supply temperature sensors.]</w:t>
      </w:r>
    </w:p>
    <w:p w14:paraId="341C90DF"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central air handler unit outside air CFM air flow monitoring stations.]</w:t>
      </w:r>
    </w:p>
    <w:p w14:paraId="46EE9CA5"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DDC option for automatic operation of building circulating pumps whenever outdoor air temperature is below 35 degrees F or when there is a high potential for freeze damage.]</w:t>
      </w:r>
    </w:p>
    <w:p w14:paraId="4AFC336B"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control to automatically start back-up pumps (or other HVAC equipment) if the primary device fails.]  [Primary and back-up equipment starter circuits must be wired to prevent both pieces of equipment from operating at the same time.] [Rotate primary and back-up HVAC equipment monthly (adjustable) with a lead/lag control routine.]</w:t>
      </w:r>
    </w:p>
    <w:p w14:paraId="484D62AB"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w:t>
      </w:r>
      <w:proofErr w:type="gramStart"/>
      <w:r>
        <w:rPr>
          <w:rFonts w:ascii="ArialMT" w:hAnsi="ArialMT" w:cs="ArialMT"/>
          <w:b/>
          <w:bCs/>
          <w:sz w:val="28"/>
          <w:szCs w:val="28"/>
        </w:rPr>
        <w:t>1.2  ELECTRONIC</w:t>
      </w:r>
      <w:proofErr w:type="gramEnd"/>
      <w:r>
        <w:rPr>
          <w:rFonts w:ascii="ArialMT" w:hAnsi="ArialMT" w:cs="ArialMT"/>
          <w:b/>
          <w:bCs/>
          <w:sz w:val="28"/>
          <w:szCs w:val="28"/>
        </w:rPr>
        <w:t xml:space="preserve"> CONTROLS </w:t>
      </w:r>
    </w:p>
    <w:p w14:paraId="5BCF08F2"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[Provide electronic controls for the HVAC systems and equipment.]</w:t>
      </w:r>
    </w:p>
    <w:p w14:paraId="3097090D"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D3070 SYSTEMS TESTING AND BALANCING </w:t>
      </w:r>
    </w:p>
    <w:p w14:paraId="2D430919"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the project is complex, or mission essential, or has life safety issues, or due to local construction conditions, provide additional wording as necessary</w:t>
      </w:r>
      <w:r>
        <w:rPr>
          <w:rFonts w:ascii="ArialMT" w:hAnsi="ArialMT" w:cs="ArialMT"/>
          <w:b/>
          <w:bCs/>
          <w:vanish/>
          <w:color w:val="0000FF"/>
          <w:sz w:val="20"/>
          <w:szCs w:val="20"/>
        </w:rPr>
        <w:br/>
        <w:t>**********************************************************************************************************</w:t>
      </w:r>
    </w:p>
    <w:p w14:paraId="7FC0C198"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20CFE94B"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Testing and Balancing (TAB) of all air and water distribution systems and HVAC equipment and performance verification testing (PVT) of all HVAC controls systems.]</w:t>
      </w:r>
    </w:p>
    <w:p w14:paraId="6335AC80"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D307003 HVAC COMMISSIONING </w:t>
      </w:r>
    </w:p>
    <w:p w14:paraId="1D278491"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Extent of Commissioning will depend on the scope and complexity of the project.</w:t>
      </w:r>
      <w:r>
        <w:rPr>
          <w:rFonts w:ascii="ArialMT" w:hAnsi="ArialMT" w:cs="ArialMT"/>
          <w:b/>
          <w:bCs/>
          <w:vanish/>
          <w:color w:val="0000FF"/>
          <w:sz w:val="20"/>
          <w:szCs w:val="20"/>
        </w:rPr>
        <w:br/>
        <w:t>**********************************************************************************************************</w:t>
      </w:r>
    </w:p>
    <w:p w14:paraId="10156EE5"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214BEDDB"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RFP Part 3 - Project Program, Chapter 2 for Building Commissioning requirements.  Mechanical systems to be commissioned, if provided, include HVAC systems and controls, refrigeration systems and controls, renewable energy systems, [_______,] and domestic hot water systems.</w:t>
      </w:r>
    </w:p>
    <w:p w14:paraId="78F0B9E8"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 OTHER HVAC SYSTEMS AND EQUIPMENT </w:t>
      </w:r>
    </w:p>
    <w:p w14:paraId="4618E0D5"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D309001 GENERAL CONSTRUCTION ITEMS </w:t>
      </w:r>
    </w:p>
    <w:p w14:paraId="4376266B"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Coordinate seismic requirements in Project Program or elsewhere in RFP.</w:t>
      </w:r>
      <w:r>
        <w:rPr>
          <w:rFonts w:ascii="ArialMT" w:hAnsi="ArialMT" w:cs="ArialMT"/>
          <w:b/>
          <w:bCs/>
          <w:vanish/>
          <w:color w:val="0000FF"/>
          <w:sz w:val="20"/>
          <w:szCs w:val="20"/>
        </w:rPr>
        <w:br/>
        <w:t>**********************************************************************************************************</w:t>
      </w:r>
    </w:p>
    <w:p w14:paraId="26ACA4F3"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4840BC18"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seismic restraints] [and] Comply with the Force Protection Criteria.</w:t>
      </w:r>
    </w:p>
    <w:p w14:paraId="767CB8EF"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Architect on the mechanical equipment rooms (other than ground floors) to provide with through the wall access doors on building exterior - crane access - with removable hand rails.  This requirement may have historical preservation impacts.</w:t>
      </w:r>
      <w:r>
        <w:rPr>
          <w:rFonts w:ascii="ArialMT" w:hAnsi="ArialMT" w:cs="ArialMT"/>
          <w:b/>
          <w:bCs/>
          <w:vanish/>
          <w:color w:val="0000FF"/>
          <w:sz w:val="20"/>
          <w:szCs w:val="20"/>
        </w:rPr>
        <w:br/>
        <w:t>**********************************************************************************************************</w:t>
      </w:r>
    </w:p>
    <w:p w14:paraId="29CFAF52"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1F85B86E"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access to all mechanical equipment rooms through the </w:t>
      </w:r>
      <w:proofErr w:type="gramStart"/>
      <w:r>
        <w:rPr>
          <w:rFonts w:ascii="ArialMT" w:hAnsi="ArialMT" w:cs="ArialMT"/>
          <w:sz w:val="20"/>
          <w:szCs w:val="20"/>
        </w:rPr>
        <w:t>building</w:t>
      </w:r>
      <w:proofErr w:type="gramEnd"/>
      <w:r>
        <w:rPr>
          <w:rFonts w:ascii="ArialMT" w:hAnsi="ArialMT" w:cs="ArialMT"/>
          <w:sz w:val="20"/>
          <w:szCs w:val="20"/>
        </w:rPr>
        <w:t xml:space="preserve"> exterior walls.</w:t>
      </w:r>
    </w:p>
    <w:p w14:paraId="68010D0E"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mechanical equipment rooms (other than ground floors) with through the wall access doors on building exterior - crane access - with removable </w:t>
      </w:r>
      <w:proofErr w:type="gramStart"/>
      <w:r>
        <w:rPr>
          <w:rFonts w:ascii="ArialMT" w:hAnsi="ArialMT" w:cs="ArialMT"/>
          <w:sz w:val="20"/>
          <w:szCs w:val="20"/>
        </w:rPr>
        <w:t>hand rails</w:t>
      </w:r>
      <w:proofErr w:type="gramEnd"/>
      <w:r>
        <w:rPr>
          <w:rFonts w:ascii="ArialMT" w:hAnsi="ArialMT" w:cs="ArialMT"/>
          <w:sz w:val="20"/>
          <w:szCs w:val="20"/>
        </w:rPr>
        <w:t>.]</w:t>
      </w:r>
    </w:p>
    <w:p w14:paraId="0B5EBBAA"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mechanical equipment rooms in basements with pit access with floor drains and stairs and through the wall access doors on building exterior - crane access - with removable </w:t>
      </w:r>
      <w:proofErr w:type="gramStart"/>
      <w:r>
        <w:rPr>
          <w:rFonts w:ascii="ArialMT" w:hAnsi="ArialMT" w:cs="ArialMT"/>
          <w:sz w:val="20"/>
          <w:szCs w:val="20"/>
        </w:rPr>
        <w:t>hand rails</w:t>
      </w:r>
      <w:proofErr w:type="gramEnd"/>
      <w:r>
        <w:rPr>
          <w:rFonts w:ascii="ArialMT" w:hAnsi="ArialMT" w:cs="ArialMT"/>
          <w:sz w:val="20"/>
          <w:szCs w:val="20"/>
        </w:rPr>
        <w:t>.]</w:t>
      </w:r>
    </w:p>
    <w:p w14:paraId="4C52199C" w14:textId="77777777" w:rsidR="00734A3C" w:rsidRDefault="00734A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D309090 OTHER SPECIAL MECHANICAL SYSTEMS </w:t>
      </w:r>
    </w:p>
    <w:p w14:paraId="04AD6000" w14:textId="77777777" w:rsidR="00734A3C" w:rsidRDefault="00734A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the following paragraphs if the need for energy recovery devices is required by ASHRAE 90.1 or other project energy goals.  Confirm the type of energy recovery to be used with the base Public Works Department.</w:t>
      </w:r>
      <w:r>
        <w:rPr>
          <w:rFonts w:ascii="ArialMT" w:hAnsi="ArialMT" w:cs="ArialMT"/>
          <w:b/>
          <w:bCs/>
          <w:vanish/>
          <w:color w:val="0000FF"/>
          <w:sz w:val="20"/>
          <w:szCs w:val="20"/>
        </w:rPr>
        <w:br/>
        <w:t>**********************************************************************************************************</w:t>
      </w:r>
    </w:p>
    <w:p w14:paraId="0A4889D0" w14:textId="77777777" w:rsidR="00734A3C" w:rsidRDefault="00734A3C">
      <w:pPr>
        <w:widowControl w:val="0"/>
        <w:autoSpaceDE w:val="0"/>
        <w:autoSpaceDN w:val="0"/>
        <w:adjustRightInd w:val="0"/>
        <w:spacing w:after="0" w:line="240" w:lineRule="auto"/>
        <w:rPr>
          <w:rFonts w:ascii="ArialMT" w:hAnsi="ArialMT" w:cs="ArialMT"/>
          <w:vanish/>
          <w:sz w:val="20"/>
          <w:szCs w:val="20"/>
        </w:rPr>
      </w:pPr>
    </w:p>
    <w:p w14:paraId="1BDBB1AD"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total energy (enthalpy) type energy recovery wheels (heat wheels) in the air handling system</w:t>
      </w:r>
    </w:p>
    <w:p w14:paraId="563C0DC4"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heat pipe energy recovery in the air handling system.]</w:t>
      </w:r>
    </w:p>
    <w:p w14:paraId="58E902D3" w14:textId="77777777" w:rsidR="00734A3C" w:rsidRDefault="00734A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734A3C">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895E75" w14:textId="77777777" w:rsidR="00E041C6" w:rsidRDefault="00E041C6">
      <w:pPr>
        <w:spacing w:after="0" w:line="240" w:lineRule="auto"/>
      </w:pPr>
      <w:r>
        <w:separator/>
      </w:r>
    </w:p>
  </w:endnote>
  <w:endnote w:type="continuationSeparator" w:id="0">
    <w:p w14:paraId="434BF9FA" w14:textId="77777777" w:rsidR="00E041C6" w:rsidRDefault="00E041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EC007" w14:textId="77777777" w:rsidR="00734A3C" w:rsidRDefault="00734A3C">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5F88E3" w14:textId="77777777" w:rsidR="00E041C6" w:rsidRDefault="00E041C6">
      <w:pPr>
        <w:spacing w:after="0" w:line="240" w:lineRule="auto"/>
      </w:pPr>
      <w:r>
        <w:separator/>
      </w:r>
    </w:p>
  </w:footnote>
  <w:footnote w:type="continuationSeparator" w:id="0">
    <w:p w14:paraId="0D5B4B1D" w14:textId="77777777" w:rsidR="00E041C6" w:rsidRDefault="00E041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7490B9" w14:textId="77777777" w:rsidR="00734A3C" w:rsidRDefault="00734A3C">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Child Development </w:t>
    </w:r>
    <w:proofErr w:type="gramStart"/>
    <w:r>
      <w:rPr>
        <w:rFonts w:ascii="ArialMT" w:hAnsi="ArialMT" w:cs="ArialMT"/>
        <w:sz w:val="18"/>
        <w:szCs w:val="18"/>
      </w:rPr>
      <w:t xml:space="preserve">Center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55A"/>
    <w:rsid w:val="002732C5"/>
    <w:rsid w:val="006715BE"/>
    <w:rsid w:val="00734A3C"/>
    <w:rsid w:val="00E041C6"/>
    <w:rsid w:val="00E42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7EC012"/>
  <w14:defaultImageDpi w14:val="0"/>
  <w15:docId w15:val="{CEB92ECF-53BD-4497-BB15-1114DC2F4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25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6540</Words>
  <Characters>37279</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2024-06-17T17:51:00Z</dcterms:created>
  <dcterms:modified xsi:type="dcterms:W3CDTF">2024-06-17T17:51:00Z</dcterms:modified>
  <cp:category>Design Build</cp:category>
</cp:coreProperties>
</file>