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97F6D" w14:textId="77777777" w:rsidR="00B36201" w:rsidRDefault="00B36201">
      <w:pPr>
        <w:widowControl w:val="0"/>
        <w:autoSpaceDE w:val="0"/>
        <w:autoSpaceDN w:val="0"/>
        <w:adjustRightInd w:val="0"/>
        <w:spacing w:after="0" w:line="240" w:lineRule="auto"/>
        <w:rPr>
          <w:rFonts w:ascii="Times New Roman" w:hAnsi="Times New Roman"/>
          <w:sz w:val="24"/>
          <w:szCs w:val="24"/>
        </w:rPr>
      </w:pPr>
    </w:p>
    <w:p w14:paraId="580A5C07" w14:textId="77777777" w:rsidR="00B36201" w:rsidRDefault="00B3620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07953CF" w14:textId="77777777" w:rsidR="00B36201" w:rsidRDefault="00B3620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6990E8D0"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3-501-01 when determining electrical system requirements. </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Room-specific requirements are defined in the ROOM REQUIREMENTS section.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774071BD"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7E585B5D"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electrical system component relative to Part 2 UFGS Section 01 33 29, </w:t>
      </w:r>
      <w:r>
        <w:rPr>
          <w:rFonts w:ascii="ArialMT" w:hAnsi="ArialMT" w:cs="ArialMT"/>
          <w:b/>
          <w:bCs/>
          <w:i/>
          <w:iCs/>
          <w:vanish/>
          <w:color w:val="0000FF"/>
          <w:sz w:val="20"/>
          <w:szCs w:val="20"/>
        </w:rPr>
        <w:t>Sustainability Requirements and Reporting</w:t>
      </w:r>
      <w:r w:rsidR="005E7286">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sidR="005E7286">
        <w:rPr>
          <w:rFonts w:ascii="ArialMT" w:hAnsi="ArialMT" w:cs="ArialMT"/>
          <w:b/>
          <w:bCs/>
          <w:i/>
          <w:iCs/>
          <w:vanish/>
          <w:color w:val="0000FF"/>
          <w:sz w:val="20"/>
          <w:szCs w:val="20"/>
        </w:rPr>
        <w:t xml:space="preserve"> </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1EB5FACB"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466308E6"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Address scope and ensure the system description clearly describes the existing systems and designated connection points as applicable, and any other information needed for the contractor to understand the existing system and how the new project will connect to it.</w:t>
      </w:r>
      <w:r>
        <w:rPr>
          <w:rFonts w:ascii="ArialMT" w:hAnsi="ArialMT" w:cs="ArialMT"/>
          <w:b/>
          <w:bCs/>
          <w:vanish/>
          <w:color w:val="0000FF"/>
          <w:sz w:val="20"/>
          <w:szCs w:val="20"/>
        </w:rPr>
        <w:br/>
        <w:t>**********************************************************************************************************</w:t>
      </w:r>
    </w:p>
    <w:p w14:paraId="60594083"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5B0CBD13"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construction of buildings and structures as listed below. Refer to site plans for building locations.</w:t>
      </w:r>
    </w:p>
    <w:p w14:paraId="12BE79CA"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r w:rsidR="005E7286">
        <w:rPr>
          <w:rFonts w:ascii="ArialMT" w:hAnsi="ArialMT" w:cs="ArialMT"/>
          <w:sz w:val="20"/>
          <w:szCs w:val="20"/>
        </w:rPr>
        <w:t xml:space="preserve">  </w:t>
      </w:r>
      <w:r>
        <w:rPr>
          <w:rFonts w:ascii="ArialMT" w:hAnsi="ArialMT" w:cs="ArialMT"/>
          <w:sz w:val="20"/>
          <w:szCs w:val="20"/>
        </w:rPr>
        <w:t>]</w:t>
      </w:r>
    </w:p>
    <w:p w14:paraId="305305D6"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  ] system [and provide new [  ].]</w:t>
      </w:r>
    </w:p>
    <w:p w14:paraId="7C13B935"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electrical system consisting of [Service Entrance Wiring and Equipment,] [Distribution and Lighting Panelboards,] [Dry Type Transformers,] [Conduits,] [Feeder and Branch Circuits,] [Motor Control Equipment,] [Lighting and Branch Wiring,] [Communications, Security and Alarm Systems,] [Emergency Generator], [Emergency Lighting and Power,] [Grounding,] [Lightning Protection,] [Photovoltaic Energy System,] [400-Hertz Converters], [UPS,] [        ] including accessories and devices as necessary and required for a complete and usable system.  This section covers installations out to the building 5 foot (1.5 meter) line.</w:t>
      </w:r>
    </w:p>
    <w:p w14:paraId="1BB5179F"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building with a [single] [ ] utility service with radial power distribution.</w:t>
      </w:r>
    </w:p>
    <w:p w14:paraId="0D5801DC"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electrical characteristics of the power system to provide a safe, efficient and economical distribution of power based upon the size and types of electrical loads to be served. Use distribution and utilization voltages of the highest level that is practical for the load to be served.</w:t>
      </w:r>
    </w:p>
    <w:p w14:paraId="044C1943"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[20][ ] percent spare circuit and load capacity at all levels of the power distribution system including any stand-by power systems.</w:t>
      </w:r>
    </w:p>
    <w:p w14:paraId="7671C5A0"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w:t>
      </w:r>
    </w:p>
    <w:p w14:paraId="05B7845D"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an Electrical System complete in place, tested and approved, as specified throughout this RFP, as needed for a complete, usable and proper installation. Install all equipment in accordance with the criteria of PTS Section D50 and the manufacturer's recommendations. Where the word "should" is used in the manufacturer's recommendations, substitute the word "must".</w:t>
      </w:r>
    </w:p>
    <w:p w14:paraId="6C5D935D"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section of the RFP includes all electrical work on or within the building out to the five (5) foot line. Electrical site work outside the five (5) foot line is covered in section G40.</w:t>
      </w:r>
    </w:p>
    <w:p w14:paraId="5CEB3DBC"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47AC4551"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Provide bracing of electrical equipment which is suspended and weighs more than 31 pounds.</w:t>
      </w:r>
    </w:p>
    <w:p w14:paraId="36EBFD1B"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t>Bracing of electrical equipment to resist seismic events [is] [is not] required based on site seismic design criteria and building importance factor.</w:t>
      </w:r>
    </w:p>
    <w:p w14:paraId="1659D5FE"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ELECTRICAL TESTING</w:t>
      </w:r>
      <w:r>
        <w:rPr>
          <w:rFonts w:ascii="ArialMT" w:hAnsi="ArialMT" w:cs="ArialMT"/>
          <w:sz w:val="20"/>
          <w:szCs w:val="20"/>
        </w:rPr>
        <w:br/>
      </w:r>
      <w:r>
        <w:rPr>
          <w:rFonts w:ascii="ArialMT" w:hAnsi="ArialMT" w:cs="ArialMT"/>
          <w:sz w:val="20"/>
          <w:szCs w:val="20"/>
        </w:rPr>
        <w:lastRenderedPageBreak/>
        <w:t>Test new electrical equipment in accordance with NETA acceptance testing specifications. Test existing electrical equipment remaining in service in accordance with NETA maintenance testing specifications.</w:t>
      </w:r>
    </w:p>
    <w:p w14:paraId="0F733B4E"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COMMISSIONING</w:t>
      </w:r>
      <w:r>
        <w:rPr>
          <w:rFonts w:ascii="ArialMT" w:hAnsi="ArialMT" w:cs="ArialMT"/>
          <w:sz w:val="20"/>
          <w:szCs w:val="20"/>
        </w:rPr>
        <w:br/>
        <w:t xml:space="preserve">Commission all systems in accordance with RFP Part 3, Chapter 2; UFGS Section 01 33 29, </w:t>
      </w:r>
      <w:r>
        <w:rPr>
          <w:rFonts w:ascii="ArialMT" w:hAnsi="ArialMT" w:cs="ArialMT"/>
          <w:i/>
          <w:iCs/>
          <w:sz w:val="20"/>
          <w:szCs w:val="20"/>
        </w:rPr>
        <w:t>Sustainability Requirements and Reporting</w:t>
      </w:r>
      <w:r>
        <w:rPr>
          <w:rFonts w:ascii="ArialMT" w:hAnsi="ArialMT" w:cs="ArialMT"/>
          <w:sz w:val="20"/>
          <w:szCs w:val="20"/>
        </w:rPr>
        <w:t xml:space="preserve">, UFGS Section 01 91 00.15, </w:t>
      </w:r>
      <w:r>
        <w:rPr>
          <w:rFonts w:ascii="ArialMT" w:hAnsi="ArialMT" w:cs="ArialMT"/>
          <w:i/>
          <w:iCs/>
          <w:sz w:val="20"/>
          <w:szCs w:val="20"/>
        </w:rPr>
        <w:t>Building Commissioning</w:t>
      </w:r>
      <w:r>
        <w:rPr>
          <w:rFonts w:ascii="ArialMT" w:hAnsi="ArialMT" w:cs="ArialMT"/>
          <w:sz w:val="20"/>
          <w:szCs w:val="20"/>
        </w:rPr>
        <w:t xml:space="preserve">, 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52B6E47E"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Requirements for Government Furnished Equipment (GFE) are provided in ESR E10, Equipment.</w:t>
      </w:r>
      <w:r>
        <w:rPr>
          <w:rFonts w:ascii="ArialMT" w:hAnsi="ArialMT" w:cs="ArialMT"/>
          <w:b/>
          <w:bCs/>
          <w:vanish/>
          <w:color w:val="0000FF"/>
          <w:sz w:val="20"/>
          <w:szCs w:val="20"/>
        </w:rPr>
        <w:br/>
        <w:t>**********************************************************************************************************</w:t>
      </w:r>
    </w:p>
    <w:p w14:paraId="4D68A8B7"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431D4062"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543BC984"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the scope of design build projects covered by this specification will limit the voltage in a facility to 480 volts maximum. All medium voltage work will generally be exterior to the facility and will be covered in ESR G40.</w:t>
      </w:r>
      <w:r>
        <w:rPr>
          <w:rFonts w:ascii="ArialMT" w:hAnsi="ArialMT" w:cs="ArialMT"/>
          <w:b/>
          <w:bCs/>
          <w:vanish/>
          <w:color w:val="0000FF"/>
          <w:sz w:val="20"/>
          <w:szCs w:val="20"/>
        </w:rPr>
        <w:br/>
        <w:t>**********************************************************************************************************</w:t>
      </w:r>
    </w:p>
    <w:p w14:paraId="14AEA599"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0B138D7E"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0827C303"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78711251"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24D8B187"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underground service into the facility.</w:t>
      </w:r>
    </w:p>
    <w:p w14:paraId="281F4483"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[switchgear] [switchboard] [main distribution panel] as service equipment. [Provide each [switchgear] [switchboard] with digital metering.]</w:t>
      </w:r>
    </w:p>
    <w:p w14:paraId="52941F78"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17881C2F"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 </w:t>
      </w:r>
    </w:p>
    <w:p w14:paraId="5BADE587"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dry type transformers to step down secondary voltages for general purpose outlets and other low voltage equipment.] </w:t>
      </w:r>
    </w:p>
    <w:p w14:paraId="394B5D8F"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 </w:t>
      </w:r>
    </w:p>
    <w:p w14:paraId="1B5117E9"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distribution and branch circuit panelboards to serve loads as required.] </w:t>
      </w:r>
    </w:p>
    <w:p w14:paraId="110EFAC6"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 </w:t>
      </w:r>
    </w:p>
    <w:p w14:paraId="06B72918"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enclosed circuit breakers for [     ]] </w:t>
      </w:r>
    </w:p>
    <w:p w14:paraId="3BB022CF"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D501006 MOTOR CONTROL CENTERS </w:t>
      </w:r>
    </w:p>
    <w:p w14:paraId="6F3435AA"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Thoroughly coordinate this section with the mechanical design requirements. Delete all paragraphs that do not apply.</w:t>
      </w:r>
      <w:r>
        <w:rPr>
          <w:rFonts w:ascii="ArialMT" w:hAnsi="ArialMT" w:cs="ArialMT"/>
          <w:b/>
          <w:bCs/>
          <w:vanish/>
          <w:color w:val="0000FF"/>
          <w:sz w:val="20"/>
          <w:szCs w:val="20"/>
        </w:rPr>
        <w:br/>
        <w:t>**********************************************************************************************************</w:t>
      </w:r>
    </w:p>
    <w:p w14:paraId="40FBAC20"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12071AB9"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[motor control centers] [individual motor starters with disconnect switches] [combination motor starters][variable speed drives] [reduced voltage controllers] [manual motor starters] for motor controls as required by mechanical equipment. Provide all circuits and connections for motor [  ].</w:t>
      </w:r>
    </w:p>
    <w:p w14:paraId="3598EF8B"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D501090 OTHER SERVICE AND DISTRIBUTION </w:t>
      </w:r>
    </w:p>
    <w:p w14:paraId="472A7426"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surge protective devices (SPD) are required for switchgear, switchboards, or panelboards.</w:t>
      </w:r>
      <w:r>
        <w:rPr>
          <w:rFonts w:ascii="ArialMT" w:hAnsi="ArialMT" w:cs="ArialMT"/>
          <w:b/>
          <w:bCs/>
          <w:vanish/>
          <w:color w:val="0000FF"/>
          <w:sz w:val="20"/>
          <w:szCs w:val="20"/>
        </w:rPr>
        <w:br/>
        <w:t>**********************************************************************************************************</w:t>
      </w:r>
    </w:p>
    <w:p w14:paraId="42B6A8AD"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7471CAA3"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transient voltage surge protective devices (SPD) at the following locations [service entrance] [         ]].</w:t>
      </w:r>
    </w:p>
    <w:p w14:paraId="4C77CE98"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Busway is generally reserved for power systems that require constant rearrangement such as machine shops and are typically not used. Delete when not required.</w:t>
      </w:r>
      <w:r>
        <w:rPr>
          <w:rFonts w:ascii="ArialMT" w:hAnsi="ArialMT" w:cs="ArialMT"/>
          <w:b/>
          <w:bCs/>
          <w:vanish/>
          <w:color w:val="0000FF"/>
          <w:sz w:val="20"/>
          <w:szCs w:val="20"/>
        </w:rPr>
        <w:br/>
        <w:t>**********************************************************************************************************</w:t>
      </w:r>
    </w:p>
    <w:p w14:paraId="2B3D6EF8"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6ED6DA16"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system of [feeder bus] [plug-in busway including bus plugs] to serve [         ] systems.]</w:t>
      </w:r>
    </w:p>
    <w:p w14:paraId="43796E76"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copper busway.]</w:t>
      </w:r>
    </w:p>
    <w:p w14:paraId="248F7112"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 LIGHTING AND BRANCH WIRING </w:t>
      </w:r>
    </w:p>
    <w:p w14:paraId="2DF18EF7"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all systems requiring electrical service.</w:t>
      </w:r>
    </w:p>
    <w:p w14:paraId="270661E3"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and general purpose receptacles throughout all spaces as required.</w:t>
      </w:r>
    </w:p>
    <w:p w14:paraId="3AE6183C"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to identify project specific special outlets required. Include amp and voltage requirements as appropriate.</w:t>
      </w:r>
      <w:r>
        <w:rPr>
          <w:rFonts w:ascii="ArialMT" w:hAnsi="ArialMT" w:cs="ArialMT"/>
          <w:b/>
          <w:bCs/>
          <w:vanish/>
          <w:color w:val="0000FF"/>
          <w:sz w:val="20"/>
          <w:szCs w:val="20"/>
        </w:rPr>
        <w:br/>
        <w:t>**********************************************************************************************************</w:t>
      </w:r>
    </w:p>
    <w:p w14:paraId="283C7650"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32939D9A"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circuits and connections for the following special outlets: [      ].</w:t>
      </w:r>
    </w:p>
    <w:p w14:paraId="6411DBCF"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D502001  BRANCH WIRING </w:t>
      </w:r>
    </w:p>
    <w:p w14:paraId="1C2A7D40"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conductors in conduit] [non-metallic sheathed cable] branch wiring.</w:t>
      </w:r>
    </w:p>
    <w:p w14:paraId="2513CD0E"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03AE4C89"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50BACAF5"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2908F2C5"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lighting system consisting of exit and emergency lighting and area lighting consisting of [LED][fluorescent] [high intensity discharge] lighting including switches and automatic controls including [occupancy sensors,] [vacancy sensors,] [daylighting controls,] [automatic lighting shutoff systems] and [dimming systems].]</w:t>
      </w:r>
    </w:p>
    <w:p w14:paraId="57563A45"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22064694"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65CE699D"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3AB6A1AC"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or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0B652412"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42257F2F"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338D1434"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464CD878"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0D195BAC"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20DE946D"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[Secret Internet Protocol Router Network (SIPRNET) is a project requirement. Provide a Protected Distribution System (PDS) as required. Provide outlets in accordance with [the Room Requirements.][in the following rooms:</w:t>
      </w:r>
    </w:p>
    <w:p w14:paraId="15F0E341"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554AFD4B"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38E4076E"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D503002 PUBLIC ADDRESS SYSTEMS </w:t>
      </w:r>
    </w:p>
    <w:p w14:paraId="1EFDD0FE"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system and utilize the telephone system and desktop phones for all communications. Coordinate and verify with user if this is a suitable system for mission accomplishment.</w:t>
      </w:r>
      <w:r>
        <w:rPr>
          <w:rFonts w:ascii="ArialMT" w:hAnsi="ArialMT" w:cs="ArialMT"/>
          <w:b/>
          <w:bCs/>
          <w:vanish/>
          <w:color w:val="0000FF"/>
          <w:sz w:val="20"/>
          <w:szCs w:val="20"/>
        </w:rPr>
        <w:br/>
        <w:t>**********************************************************************************************************</w:t>
      </w:r>
    </w:p>
    <w:p w14:paraId="0A476570"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700B1FE6"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Public Address system with speakers in all [common spaces] [exterior speakers for outside activity spaces] [        ].</w:t>
      </w:r>
    </w:p>
    <w:p w14:paraId="75D3ACD1"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bracketed option when project involves open work spaces.</w:t>
      </w:r>
      <w:r>
        <w:rPr>
          <w:rFonts w:ascii="ArialMT" w:hAnsi="ArialMT" w:cs="ArialMT"/>
          <w:b/>
          <w:bCs/>
          <w:vanish/>
          <w:color w:val="0000FF"/>
          <w:sz w:val="20"/>
          <w:szCs w:val="20"/>
        </w:rPr>
        <w:br/>
        <w:t>**********************************************************************************************************</w:t>
      </w:r>
    </w:p>
    <w:p w14:paraId="5499CE47"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2B8B597A"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[hangar] [     ] spaces, provide handset type microphone dedicated to speakers in the [hangar] [     ] space only. ]</w:t>
      </w:r>
    </w:p>
    <w:p w14:paraId="1BF47570"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option when project requires a mass notification system and combining the two systems is feasible.</w:t>
      </w:r>
      <w:r>
        <w:rPr>
          <w:rFonts w:ascii="ArialMT" w:hAnsi="ArialMT" w:cs="ArialMT"/>
          <w:b/>
          <w:bCs/>
          <w:vanish/>
          <w:color w:val="0000FF"/>
          <w:sz w:val="20"/>
          <w:szCs w:val="20"/>
        </w:rPr>
        <w:br/>
        <w:t>**********************************************************************************************************</w:t>
      </w:r>
    </w:p>
    <w:p w14:paraId="0C4A148B"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1102DD95"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[Interface the Public Address System with the Mass Notification System.] </w:t>
      </w:r>
    </w:p>
    <w:p w14:paraId="35FB62BD"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D503003 INTERCOMMUNICATIONS SYSTEMS </w:t>
      </w:r>
    </w:p>
    <w:p w14:paraId="0807BCB0"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and utilize the telephone system and desktop phones for all communications. Coordinate and verify with user if this is a suitable system for mission accomplishment. When project involves maintenance shops, include separate Maintenance Control Intercom system.</w:t>
      </w:r>
      <w:r>
        <w:rPr>
          <w:rFonts w:ascii="ArialMT" w:hAnsi="ArialMT" w:cs="ArialMT"/>
          <w:b/>
          <w:bCs/>
          <w:vanish/>
          <w:color w:val="0000FF"/>
          <w:sz w:val="20"/>
          <w:szCs w:val="20"/>
        </w:rPr>
        <w:br/>
        <w:t>**********************************************************************************************************</w:t>
      </w:r>
    </w:p>
    <w:p w14:paraId="2BDE5F1D"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0CF3B7B3"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Intercommunication System to allow two-way communications between all [office spaces], [locker rooms], [storage areas], [Department Heads], [Commanding Officer], [Executive Officer], [Officers Ready Rooms], [Maintenance Control Rooms], [Administration Offices and Maintenance Administration Offices], [      ].]</w:t>
      </w:r>
    </w:p>
    <w:p w14:paraId="7CDB1189"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stand-alone intercommunications system with individual two-way connections between the Maintenance Control Office and each shop space. This system must be completely independent from the telephone system.]</w:t>
      </w:r>
    </w:p>
    <w:p w14:paraId="7B3CA7DB"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D503004 TELEVISION SYSTEMS </w:t>
      </w:r>
    </w:p>
    <w:p w14:paraId="61007CC2"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5E7286">
        <w:rPr>
          <w:rFonts w:ascii="ArialMT" w:hAnsi="ArialMT" w:cs="ArialMT"/>
          <w:b/>
          <w:bCs/>
          <w:vanish/>
          <w:color w:val="0000FF"/>
          <w:sz w:val="20"/>
          <w:szCs w:val="20"/>
        </w:rPr>
        <w:br/>
      </w:r>
      <w:r>
        <w:rPr>
          <w:rFonts w:ascii="ArialMT" w:hAnsi="ArialMT" w:cs="ArialMT"/>
          <w:b/>
          <w:bCs/>
          <w:vanish/>
          <w:color w:val="0000FF"/>
          <w:sz w:val="20"/>
          <w:szCs w:val="20"/>
        </w:rPr>
        <w:t>NOTE:  Community Antenna Television Systems (CATV) are generally referred to as Cable TV.  Determine if there will be a CATV system that is not owned and maintained by the Government.</w:t>
      </w:r>
      <w:r>
        <w:rPr>
          <w:rFonts w:ascii="ArialMT" w:hAnsi="ArialMT" w:cs="ArialMT"/>
          <w:b/>
          <w:bCs/>
          <w:vanish/>
          <w:color w:val="0000FF"/>
          <w:sz w:val="20"/>
          <w:szCs w:val="20"/>
        </w:rPr>
        <w:br/>
      </w:r>
      <w:r>
        <w:rPr>
          <w:rFonts w:ascii="ArialMT" w:hAnsi="ArialMT" w:cs="ArialMT"/>
          <w:b/>
          <w:bCs/>
          <w:vanish/>
          <w:color w:val="0000FF"/>
          <w:sz w:val="20"/>
          <w:szCs w:val="20"/>
        </w:rPr>
        <w:br/>
        <w:t>If the system will not be owned by the government, specify the requirements for empty raceways and outlet boxes to enable system installation by the commercial CATV supplier.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If the system will be owned by the government, specify a complete system.  Include backbone consisting of backboards/cabinets, wire, conduit, outlets and jacks in all offices.  Include jacks in other locations as required by the user.</w:t>
      </w:r>
      <w:r>
        <w:rPr>
          <w:rFonts w:ascii="ArialMT" w:hAnsi="ArialMT" w:cs="ArialMT"/>
          <w:b/>
          <w:bCs/>
          <w:vanish/>
          <w:color w:val="0000FF"/>
          <w:sz w:val="20"/>
          <w:szCs w:val="20"/>
        </w:rPr>
        <w:br/>
        <w:t>**********************************************************************************************************</w:t>
      </w:r>
    </w:p>
    <w:p w14:paraId="6ABF1696"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3FD258DA"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CATV system consisting of empty raceways and outlet boxes to enable system installation by the commercial CATV supplier.]</w:t>
      </w:r>
    </w:p>
    <w:p w14:paraId="03A76D4E"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CATV system to be owned and maintained by the Government including all interior equipment required to provide high quality TV signals to all outlets with a return path for interactive television and cable modem access. System must include, but is not necessarily limited to,  [headend amplifier,] amplifiers, splitters, combiners, line taps, cables, outlets, tilt compensators and all other parts, components, and equipment necessary to provide a complete and usable system. ]</w:t>
      </w:r>
    </w:p>
    <w:p w14:paraId="4918EF19"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5C9980E6"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07F2EA33"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CATV outlets in [   ].]</w:t>
      </w:r>
    </w:p>
    <w:p w14:paraId="0D0F568F"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CATV testing method to ensure that the RFP is complete.</w:t>
      </w:r>
      <w:r>
        <w:rPr>
          <w:rFonts w:ascii="ArialMT" w:hAnsi="ArialMT" w:cs="ArialMT"/>
          <w:b/>
          <w:bCs/>
          <w:vanish/>
          <w:color w:val="0000FF"/>
          <w:sz w:val="20"/>
          <w:szCs w:val="20"/>
        </w:rPr>
        <w:br/>
        <w:t>**********************************************************************************************************</w:t>
      </w:r>
    </w:p>
    <w:p w14:paraId="20786FFD"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476CEDB0"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38E75C4B"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Use option for testing at each outlet instead of random sampling and at the furthest outlet when project includes only a small number of outlets.</w:t>
      </w:r>
      <w:r>
        <w:rPr>
          <w:rFonts w:ascii="ArialMT" w:hAnsi="ArialMT" w:cs="ArialMT"/>
          <w:b/>
          <w:bCs/>
          <w:vanish/>
          <w:color w:val="0000FF"/>
          <w:sz w:val="20"/>
          <w:szCs w:val="20"/>
        </w:rPr>
        <w:br/>
        <w:t>**********************************************************************************************************</w:t>
      </w:r>
    </w:p>
    <w:p w14:paraId="1ECC7D8B"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25F8FE3C"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Furthest outlet from [each communications closet] [service entrance point of connection]</w:t>
      </w:r>
      <w:r>
        <w:rPr>
          <w:rFonts w:ascii="ArialMT" w:hAnsi="ArialMT" w:cs="ArialMT"/>
          <w:sz w:val="20"/>
          <w:szCs w:val="20"/>
        </w:rPr>
        <w:br/>
        <w:t>A random sampling of 25 percent of the [outlets [from each communication closet] [housing units] as designated by the Contracting Officer.</w:t>
      </w:r>
      <w:r>
        <w:rPr>
          <w:rFonts w:ascii="ArialMT" w:hAnsi="ArialMT" w:cs="ArialMT"/>
          <w:sz w:val="20"/>
          <w:szCs w:val="20"/>
        </w:rPr>
        <w:br/>
        <w:t>[At each outlet.]</w:t>
      </w:r>
      <w:r>
        <w:rPr>
          <w:rFonts w:ascii="ArialMT" w:hAnsi="ArialMT" w:cs="ArialMT"/>
          <w:sz w:val="20"/>
          <w:szCs w:val="20"/>
        </w:rPr>
        <w:br/>
        <w:t>[Head end] and [Distribution amplifier inputs and outputs.]</w:t>
      </w:r>
    </w:p>
    <w:p w14:paraId="5C3E1B3D"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55A7CC06"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NAVFAC's goal, is to fully integrate the design, procurement, installation and testing of ESS into Navy MCON design and construction contracts.  Include ESS supporting infrastructure in the base construction contract and include the procurement, installation, and testing as an option.</w:t>
      </w:r>
      <w:r>
        <w:rPr>
          <w:rFonts w:ascii="ArialMT" w:hAnsi="ArialMT" w:cs="ArialMT"/>
          <w:b/>
          <w:bCs/>
          <w:vanish/>
          <w:color w:val="0000FF"/>
          <w:sz w:val="20"/>
          <w:szCs w:val="20"/>
        </w:rPr>
        <w:br/>
      </w:r>
      <w:r>
        <w:rPr>
          <w:rFonts w:ascii="ArialMT" w:hAnsi="ArialMT" w:cs="ArialMT"/>
          <w:b/>
          <w:bCs/>
          <w:vanish/>
          <w:color w:val="0000FF"/>
          <w:sz w:val="20"/>
          <w:szCs w:val="20"/>
        </w:rPr>
        <w:br/>
        <w:t xml:space="preserve">For Marine Corps projects, provide infrastructure support only.  Coordination with Commandant Marine Corps (CMC) is required.      Marine Corps considers Mass Notification Systems (MNS) to be a component of the ESS; MNS are included in D40, </w:t>
      </w:r>
      <w:r>
        <w:rPr>
          <w:rFonts w:ascii="ArialMT" w:hAnsi="ArialMT" w:cs="ArialMT"/>
          <w:b/>
          <w:bCs/>
          <w:i/>
          <w:iCs/>
          <w:vanish/>
          <w:color w:val="0000FF"/>
          <w:sz w:val="20"/>
          <w:szCs w:val="20"/>
        </w:rPr>
        <w:t>Fire Protection.</w:t>
      </w:r>
    </w:p>
    <w:p w14:paraId="214AEC5B"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525A214B"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an ESS is required, coordinate requirements with Project Manager, Base/Regional Security Personnel, and the Accrediting Official.  Baseline ESS requirements must be coordinated and defined by the RFP writer and not left to the design builder.</w:t>
      </w:r>
    </w:p>
    <w:p w14:paraId="66BC29F6"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5BA2BBE6"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If drawings are provided as part of the RFP, indicate the perimeters of the areas to be protected.  If there is more than one area or type of area to be protected, separately identify each area.  In addition, indicate in the Room Requirements section of RFP the rooms/areas/locations that require:</w:t>
      </w:r>
    </w:p>
    <w:p w14:paraId="0D0F5839" w14:textId="77777777" w:rsidR="00B36201" w:rsidRPr="005E7286" w:rsidRDefault="00B36201" w:rsidP="005E7286">
      <w:pPr>
        <w:widowControl w:val="0"/>
        <w:tabs>
          <w:tab w:val="left" w:pos="800"/>
        </w:tabs>
        <w:autoSpaceDE w:val="0"/>
        <w:autoSpaceDN w:val="0"/>
        <w:adjustRightInd w:val="0"/>
        <w:spacing w:after="0" w:line="240" w:lineRule="auto"/>
        <w:rPr>
          <w:rFonts w:ascii="ArialMT" w:hAnsi="ArialMT" w:cs="ArialMT"/>
          <w:sz w:val="20"/>
          <w:szCs w:val="20"/>
        </w:rPr>
      </w:pPr>
    </w:p>
    <w:p w14:paraId="20B84B3D" w14:textId="77777777" w:rsidR="00B36201" w:rsidRPr="005E7286" w:rsidRDefault="00B36201">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5E7286">
        <w:rPr>
          <w:rFonts w:ascii="ArialMT" w:hAnsi="ArialMT" w:cs="ArialMT"/>
          <w:b/>
          <w:bCs/>
          <w:vanish/>
          <w:color w:val="0000FF"/>
          <w:sz w:val="20"/>
          <w:szCs w:val="20"/>
        </w:rPr>
        <w:t>•</w:t>
      </w:r>
      <w:r w:rsidRPr="005E7286">
        <w:rPr>
          <w:rFonts w:ascii="ArialMT" w:hAnsi="ArialMT" w:cs="ArialMT"/>
          <w:b/>
          <w:bCs/>
          <w:vanish/>
          <w:color w:val="0000FF"/>
          <w:sz w:val="20"/>
          <w:szCs w:val="20"/>
        </w:rPr>
        <w:tab/>
        <w:t>Protection by IDS</w:t>
      </w:r>
    </w:p>
    <w:p w14:paraId="592B3667" w14:textId="77777777" w:rsidR="00B36201" w:rsidRPr="005E7286" w:rsidRDefault="00B36201">
      <w:pPr>
        <w:widowControl w:val="0"/>
        <w:autoSpaceDE w:val="0"/>
        <w:autoSpaceDN w:val="0"/>
        <w:adjustRightInd w:val="0"/>
        <w:spacing w:after="0" w:line="240" w:lineRule="auto"/>
        <w:rPr>
          <w:rFonts w:ascii="ArialMT" w:hAnsi="ArialMT" w:cs="ArialMT"/>
          <w:sz w:val="20"/>
          <w:szCs w:val="20"/>
        </w:rPr>
      </w:pPr>
    </w:p>
    <w:p w14:paraId="69D3060D" w14:textId="77777777" w:rsidR="00B36201" w:rsidRPr="005E7286" w:rsidRDefault="00B36201">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5E7286">
        <w:rPr>
          <w:rFonts w:ascii="ArialMT" w:hAnsi="ArialMT" w:cs="ArialMT"/>
          <w:b/>
          <w:bCs/>
          <w:vanish/>
          <w:color w:val="0000FF"/>
          <w:sz w:val="20"/>
          <w:szCs w:val="20"/>
        </w:rPr>
        <w:t>•</w:t>
      </w:r>
      <w:r w:rsidRPr="005E7286">
        <w:rPr>
          <w:rFonts w:ascii="ArialMT" w:hAnsi="ArialMT" w:cs="ArialMT"/>
          <w:b/>
          <w:bCs/>
          <w:vanish/>
          <w:color w:val="0000FF"/>
          <w:sz w:val="20"/>
          <w:szCs w:val="20"/>
        </w:rPr>
        <w:tab/>
        <w:t>Access control</w:t>
      </w:r>
    </w:p>
    <w:p w14:paraId="5F9C0B7E" w14:textId="77777777" w:rsidR="00B36201" w:rsidRPr="005E7286" w:rsidRDefault="00B36201">
      <w:pPr>
        <w:widowControl w:val="0"/>
        <w:autoSpaceDE w:val="0"/>
        <w:autoSpaceDN w:val="0"/>
        <w:adjustRightInd w:val="0"/>
        <w:spacing w:after="0" w:line="240" w:lineRule="auto"/>
        <w:rPr>
          <w:rFonts w:ascii="ArialMT" w:hAnsi="ArialMT" w:cs="ArialMT"/>
          <w:sz w:val="20"/>
          <w:szCs w:val="20"/>
        </w:rPr>
      </w:pPr>
    </w:p>
    <w:p w14:paraId="0071DAC3" w14:textId="77777777" w:rsidR="00B36201" w:rsidRPr="005E7286" w:rsidRDefault="00B36201">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5E7286">
        <w:rPr>
          <w:rFonts w:ascii="ArialMT" w:hAnsi="ArialMT" w:cs="ArialMT"/>
          <w:b/>
          <w:bCs/>
          <w:vanish/>
          <w:color w:val="0000FF"/>
          <w:sz w:val="20"/>
          <w:szCs w:val="20"/>
        </w:rPr>
        <w:t>•</w:t>
      </w:r>
      <w:r w:rsidRPr="005E7286">
        <w:rPr>
          <w:rFonts w:ascii="ArialMT" w:hAnsi="ArialMT" w:cs="ArialMT"/>
          <w:b/>
          <w:bCs/>
          <w:vanish/>
          <w:color w:val="0000FF"/>
          <w:sz w:val="20"/>
          <w:szCs w:val="20"/>
        </w:rPr>
        <w:tab/>
        <w:t>CCTV coverage</w:t>
      </w:r>
    </w:p>
    <w:p w14:paraId="2AE2133A" w14:textId="77777777" w:rsidR="00B36201" w:rsidRPr="005E7286" w:rsidRDefault="00B36201">
      <w:pPr>
        <w:widowControl w:val="0"/>
        <w:autoSpaceDE w:val="0"/>
        <w:autoSpaceDN w:val="0"/>
        <w:adjustRightInd w:val="0"/>
        <w:spacing w:after="0" w:line="240" w:lineRule="auto"/>
        <w:rPr>
          <w:rFonts w:ascii="ArialMT" w:hAnsi="ArialMT" w:cs="ArialMT"/>
          <w:sz w:val="20"/>
          <w:szCs w:val="20"/>
        </w:rPr>
      </w:pPr>
    </w:p>
    <w:p w14:paraId="3E086E3D"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In general there is no requirement for electronic security systems for BEQs.  The following is provided for guidance only and must be edited as applicable for each project.</w:t>
      </w:r>
      <w:r>
        <w:rPr>
          <w:rFonts w:ascii="ArialMT" w:hAnsi="ArialMT" w:cs="ArialMT"/>
          <w:b/>
          <w:bCs/>
          <w:vanish/>
          <w:color w:val="0000FF"/>
          <w:sz w:val="20"/>
          <w:szCs w:val="20"/>
        </w:rPr>
        <w:br/>
        <w:t>**********************************************************************************************************</w:t>
      </w:r>
    </w:p>
    <w:p w14:paraId="6479FB27"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36A4F95C"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Electronic Security System (ESS) is the integrated electronic system that encompasses one or more of the following subsystems; access control system (ACS), intrusion detection system (IDS), and closed circuit television (CCTV) systems for assessment of alarm conditions.</w:t>
      </w:r>
    </w:p>
    <w:p w14:paraId="71FF115D"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ESS for this project in accordance with the requirements of UFC 4-021-02, </w:t>
      </w:r>
      <w:r>
        <w:rPr>
          <w:rFonts w:ascii="ArialMT" w:hAnsi="ArialMT" w:cs="ArialMT"/>
          <w:i/>
          <w:iCs/>
          <w:sz w:val="20"/>
          <w:szCs w:val="20"/>
        </w:rPr>
        <w:t>Electronic Security Systems.</w:t>
      </w:r>
      <w:r w:rsidR="005E7286">
        <w:rPr>
          <w:rFonts w:ascii="ArialMT" w:hAnsi="ArialMT" w:cs="ArialMT"/>
          <w:i/>
          <w:iCs/>
          <w:sz w:val="20"/>
          <w:szCs w:val="20"/>
        </w:rPr>
        <w:t xml:space="preserve">  </w:t>
      </w:r>
      <w:r>
        <w:rPr>
          <w:rFonts w:ascii="ArialMT" w:hAnsi="ArialMT" w:cs="ArialMT"/>
          <w:sz w:val="20"/>
          <w:szCs w:val="20"/>
        </w:rPr>
        <w:t>The ESS must consist of [an ACS] [and] [an IDS] [and] [a CCTV system for alarm assessment].</w:t>
      </w:r>
    </w:p>
    <w:p w14:paraId="614A1FE8"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If the ESS equipment will be provided by others, specify the requirements for empty raceways and outlet boxes to enable system installation by the ESS supplier.</w:t>
      </w:r>
      <w:r>
        <w:rPr>
          <w:rFonts w:ascii="ArialMT" w:hAnsi="ArialMT" w:cs="ArialMT"/>
          <w:b/>
          <w:bCs/>
          <w:vanish/>
          <w:color w:val="0000FF"/>
          <w:sz w:val="20"/>
          <w:szCs w:val="20"/>
        </w:rPr>
        <w:br/>
        <w:t>**********************************************************************************************************</w:t>
      </w:r>
    </w:p>
    <w:p w14:paraId="73B702AF"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4EEEF9FF"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ESS consisting of empty raceways with pull strings, outlet boxes, cover plates, and associated power outlets to enable system installation by the ESS supplier.]</w:t>
      </w:r>
    </w:p>
    <w:p w14:paraId="40F98062"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If the system is provided under this contract, specify a complete system that includes equipment and supporting infrastructure as required.  Coordinate compatibility requirements for integration to central monitoring system with Installation's security personnel and identify requirements in RFP.</w:t>
      </w:r>
      <w:r>
        <w:rPr>
          <w:rFonts w:ascii="ArialMT" w:hAnsi="ArialMT" w:cs="ArialMT"/>
          <w:b/>
          <w:bCs/>
          <w:vanish/>
          <w:color w:val="0000FF"/>
          <w:sz w:val="20"/>
          <w:szCs w:val="20"/>
        </w:rPr>
        <w:br/>
        <w:t>**********************************************************************************************************</w:t>
      </w:r>
    </w:p>
    <w:p w14:paraId="3EBEF3C9"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3E9B4B19"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electronic security system (ESS) including equipment and supporting infrastructure complete, tested, and operational.  ESS must be compatible with the Installation's central monitoring system and monitored [within the protected zone/area] [and] [at the Installation central monitoring station].  [The Installation's][     ] central monitoring system is [             ]].</w:t>
      </w:r>
    </w:p>
    <w:p w14:paraId="669CD931"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Card readers are typically only required at the primary entrances to the protected/secured area or facility.  Modify the following paragraph if project requires additional access control devices within the secure area.  Unless directed otherwise, credential devices must be the default choice.</w:t>
      </w:r>
      <w:r>
        <w:rPr>
          <w:rFonts w:ascii="ArialMT" w:hAnsi="ArialMT" w:cs="ArialMT"/>
          <w:b/>
          <w:bCs/>
          <w:vanish/>
          <w:color w:val="0000FF"/>
          <w:sz w:val="20"/>
          <w:szCs w:val="20"/>
        </w:rPr>
        <w:br/>
        <w:t>**********************************************************************************************************</w:t>
      </w:r>
    </w:p>
    <w:p w14:paraId="2A452836"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3A245950"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ACS utilizing [credential devices] [coded devices] [and] [biometric devices] to monitor and control personnel movement through and within [protected areas][ the facility.] The ACS must log and archive all transactions and alert authorities of unauthorized entry attempts. [ACS must be interfaced with the CCTV system to archive unauthorized entry attempts and assist security personnel in the assessment of unauthorized entry attempts].]</w:t>
      </w:r>
    </w:p>
    <w:p w14:paraId="1F8326A9"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and edit the following bracketed option for projects that require IDS.</w:t>
      </w:r>
      <w:r>
        <w:rPr>
          <w:rFonts w:ascii="ArialMT" w:hAnsi="ArialMT" w:cs="ArialMT"/>
          <w:b/>
          <w:bCs/>
          <w:vanish/>
          <w:color w:val="0000FF"/>
          <w:sz w:val="20"/>
          <w:szCs w:val="20"/>
        </w:rPr>
        <w:br/>
        <w:t>**********************************************************************************************************</w:t>
      </w:r>
    </w:p>
    <w:p w14:paraId="056ED7A6"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08539BE7"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IDS to detect intruders or unauthorized personnel in protected areas/zones.  Provide point sensors on all windows, doors, and man passable openings.  Provide volumetric sensors within protected areas/zones to detect movement within protected areas/zones. System must annunciate [, print,] and archive alarm conditions [within the facility] [and] [at central monitoring station].]</w:t>
      </w:r>
    </w:p>
    <w:p w14:paraId="0A90A0EC"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[and] [exterior] CCTV system consisting of devices to provide visual assessment and digital archiving of alarm conditions.  Features must include interface to ESS for control of camera call up to video monitors [, pan-tilt-zoom camera control,] and digital video archiving based on alarm event triggers.  Video archiving capacity must be a minimum of [30] [  ] days.  [Integration must provide means to associate archived alarm events with recorded video at the [   ] location(s).] ]</w:t>
      </w:r>
    </w:p>
    <w:p w14:paraId="697A3375"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1014F26A"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0EA476FF"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5675C7BD"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plates] and [               ].</w:t>
      </w:r>
    </w:p>
    <w:p w14:paraId="7F7C72DA"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ICS Equipment Rack must be 84-inches (2100mm) [     ]high[, double compartment with two doors, separately keyed with vertical locking mechanism].]</w:t>
      </w:r>
    </w:p>
    <w:p w14:paraId="644F0330"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     ] strand single mode fiber optic cable] for horizontal ICS distribution system data cables.</w:t>
      </w:r>
    </w:p>
    <w:p w14:paraId="463A3B27"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distribution system from the Telecommunications Room to the following facility control systems[, through the patch panel in the Mechanical Room]:</w:t>
      </w:r>
    </w:p>
    <w:p w14:paraId="42FC2487"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[HVAC Direct Digital Controls (DDC)]</w:t>
      </w:r>
    </w:p>
    <w:p w14:paraId="5E123552"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7B94624D"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68C2A2C"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4A3A99C0"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45292454"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56639297"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44FB9029"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D509001 GENERAL CONSTRUCTION ITEMS (ELECTRICAL) </w:t>
      </w:r>
    </w:p>
    <w:p w14:paraId="01D63E8E"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General Construction Items (Electrical) including, but not necessarily limited to, all connections, fittings, boxes and associated equipment needed by this and other sections of this RFP as required for a complete and usable system.</w:t>
      </w:r>
    </w:p>
    <w:p w14:paraId="132A6FE8"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conduits, cable trays and busways that penetrate fire-rated walls, fire-rated partitions, or fire-rated floors in accordance with Section C10, Interior Construction.</w:t>
      </w:r>
    </w:p>
    <w:p w14:paraId="5E13D21A"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D509002 EMERGENCY LIGHTING AND POWER </w:t>
      </w:r>
    </w:p>
    <w:p w14:paraId="3970107A"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and wiring for emergency lights and exit lights throughout the facility.]</w:t>
      </w:r>
    </w:p>
    <w:p w14:paraId="1B34FAC7"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finished space, use battery supported emergency ballasts in conjunction with normal lighting fixtures for emergency lighting.]</w:t>
      </w:r>
    </w:p>
    <w:p w14:paraId="5A8571B1"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non finished spaces, use stand alone emergency lighting units for emergency lighting.]</w:t>
      </w:r>
    </w:p>
    <w:p w14:paraId="4C67857E"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lighting units with self testing and diagnostic control features.]</w:t>
      </w:r>
    </w:p>
    <w:p w14:paraId="3A7905B8"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as applicable when more than one emergency circuit is required. Identify circuits requiring emergency power (e.g., FACP, ESS). Include voltage and amp requirements.</w:t>
      </w:r>
      <w:r>
        <w:rPr>
          <w:rFonts w:ascii="ArialMT" w:hAnsi="ArialMT" w:cs="ArialMT"/>
          <w:b/>
          <w:bCs/>
          <w:vanish/>
          <w:color w:val="0000FF"/>
          <w:sz w:val="20"/>
          <w:szCs w:val="20"/>
        </w:rPr>
        <w:br/>
      </w:r>
      <w:r>
        <w:rPr>
          <w:rFonts w:ascii="ArialMT" w:hAnsi="ArialMT" w:cs="ArialMT"/>
          <w:b/>
          <w:bCs/>
          <w:vanish/>
          <w:color w:val="0000FF"/>
          <w:sz w:val="20"/>
          <w:szCs w:val="20"/>
        </w:rPr>
        <w:br/>
        <w:t>Differentiate between loads requiring Emergency Power, Legally Required Standby Power, Optional Standby Power and Critical Power as each of these power types are treated differently in codes and standards.</w:t>
      </w:r>
      <w:r>
        <w:rPr>
          <w:rFonts w:ascii="ArialMT" w:hAnsi="ArialMT" w:cs="ArialMT"/>
          <w:b/>
          <w:bCs/>
          <w:vanish/>
          <w:color w:val="0000FF"/>
          <w:sz w:val="20"/>
          <w:szCs w:val="20"/>
        </w:rPr>
        <w:br/>
        <w:t>**********************************************************************************************************</w:t>
      </w:r>
    </w:p>
    <w:p w14:paraId="4FDD409B"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76044F33"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emergency power for the following loads:</w:t>
      </w:r>
    </w:p>
    <w:p w14:paraId="1E5F5004" w14:textId="77777777" w:rsidR="00B36201" w:rsidRDefault="00B36201">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 [      ], [      ], [      ]]</w:t>
      </w:r>
    </w:p>
    <w:p w14:paraId="498D5FED" w14:textId="77777777" w:rsidR="00B36201" w:rsidRDefault="00B36201">
      <w:pPr>
        <w:widowControl w:val="0"/>
        <w:autoSpaceDE w:val="0"/>
        <w:autoSpaceDN w:val="0"/>
        <w:adjustRightInd w:val="0"/>
        <w:spacing w:after="0" w:line="240" w:lineRule="auto"/>
        <w:ind w:left="1060"/>
        <w:rPr>
          <w:rFonts w:ascii="ArialMT" w:hAnsi="ArialMT" w:cs="ArialMT"/>
          <w:sz w:val="20"/>
          <w:szCs w:val="20"/>
        </w:rPr>
      </w:pPr>
    </w:p>
    <w:p w14:paraId="4FA5E2F6"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Emergency generators should be limited to small packaged units based on scope of design build facilities addressed by this RFP. Large systems and paralleling schemes do not fall under the scope of the typical Design Build scenario. Determine when and if generator power is required and edit accordingly. Do not size the generator but rather provide loads and voltages of dedicated equipment or circuits. Delete when not applicable.</w:t>
      </w:r>
      <w:r>
        <w:rPr>
          <w:rFonts w:ascii="ArialMT" w:hAnsi="ArialMT" w:cs="ArialMT"/>
          <w:b/>
          <w:bCs/>
          <w:vanish/>
          <w:color w:val="0000FF"/>
          <w:sz w:val="20"/>
          <w:szCs w:val="20"/>
        </w:rPr>
        <w:br/>
        <w:t>**********************************************************************************************************</w:t>
      </w:r>
    </w:p>
    <w:p w14:paraId="2A00C55F"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7AA0845B"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emergency generator for power for the following loads and equipment: [     ], [      ], [      ]. The generator must provide [       ] [minutes] [hours] [days] of emergency power.]</w:t>
      </w:r>
    </w:p>
    <w:p w14:paraId="7B0295C2"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in California requiring emergency diesel generators add the following.</w:t>
      </w:r>
      <w:r>
        <w:rPr>
          <w:rFonts w:ascii="ArialMT" w:hAnsi="ArialMT" w:cs="ArialMT"/>
          <w:b/>
          <w:bCs/>
          <w:vanish/>
          <w:color w:val="0000FF"/>
          <w:sz w:val="20"/>
          <w:szCs w:val="20"/>
        </w:rPr>
        <w:br/>
        <w:t>**********************************************************************************************************</w:t>
      </w:r>
    </w:p>
    <w:p w14:paraId="2D3839AD"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6109619C"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[Diesel fuel engines greater than 50 break horsepower (bhp) must comply with the requirements of the Airborne Toxic Control Measure (ATCM) for Stationary Compression Ignition (CI) Engines (17CCR 93115) adopted by the California Air Resource Board (CARB).  For additional information go to </w:t>
      </w:r>
      <w:hyperlink r:id="rId7" w:history="1">
        <w:r>
          <w:rPr>
            <w:rFonts w:ascii="ArialMT" w:hAnsi="ArialMT" w:cs="ArialMT"/>
            <w:color w:val="0000FF"/>
            <w:sz w:val="20"/>
            <w:szCs w:val="20"/>
            <w:u w:val="single"/>
          </w:rPr>
          <w:t>http:www.sdapcd.org</w:t>
        </w:r>
      </w:hyperlink>
      <w:r>
        <w:rPr>
          <w:rFonts w:ascii="ArialMT" w:hAnsi="ArialMT" w:cs="ArialMT"/>
          <w:sz w:val="20"/>
          <w:szCs w:val="20"/>
        </w:rPr>
        <w:t xml:space="preserve"> .]</w:t>
      </w:r>
    </w:p>
    <w:p w14:paraId="3FF28D9D"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Uninterruptible Powe</w:t>
      </w:r>
      <w:r w:rsidR="005E7286">
        <w:rPr>
          <w:rFonts w:ascii="ArialMT" w:hAnsi="ArialMT" w:cs="ArialMT"/>
          <w:b/>
          <w:bCs/>
          <w:vanish/>
          <w:color w:val="0000FF"/>
          <w:sz w:val="20"/>
          <w:szCs w:val="20"/>
        </w:rPr>
        <w:t>r</w:t>
      </w:r>
      <w:r>
        <w:rPr>
          <w:rFonts w:ascii="ArialMT" w:hAnsi="ArialMT" w:cs="ArialMT"/>
          <w:b/>
          <w:bCs/>
          <w:vanish/>
          <w:color w:val="0000FF"/>
          <w:sz w:val="20"/>
          <w:szCs w:val="20"/>
        </w:rPr>
        <w:t xml:space="preserve"> Supply (UPS) generally is not provided under construction but when required by the Activity should be provided for critical loads only and be limited to small (15-50 kVA) stand alone units based on scope of design build facilities addressed by this RFP.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Large systems, paralleling schemes, and redundant systems typically do not fall under the scope of the Design Build scenario.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Small, individual, under desk type units are typically provided by the Government as collateral equipment and are not part of construction dollars.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Determine when and if UPS power is required and edit accordingly.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When complex systems are required, this section requires extensive modifications. </w:t>
      </w:r>
      <w:r w:rsidR="005E7286">
        <w:rPr>
          <w:rFonts w:ascii="ArialMT" w:hAnsi="ArialMT" w:cs="ArialMT"/>
          <w:b/>
          <w:bCs/>
          <w:vanish/>
          <w:color w:val="0000FF"/>
          <w:sz w:val="20"/>
          <w:szCs w:val="20"/>
        </w:rPr>
        <w:t xml:space="preserve"> </w:t>
      </w:r>
      <w:r>
        <w:rPr>
          <w:rFonts w:ascii="ArialMT" w:hAnsi="ArialMT" w:cs="ArialMT"/>
          <w:b/>
          <w:bCs/>
          <w:vanish/>
          <w:color w:val="0000FF"/>
          <w:sz w:val="20"/>
          <w:szCs w:val="20"/>
        </w:rPr>
        <w:t>Coordinate this section with the emergency generator section when both are required. Delete when not applicable.</w:t>
      </w:r>
      <w:r>
        <w:rPr>
          <w:rFonts w:ascii="ArialMT" w:hAnsi="ArialMT" w:cs="ArialMT"/>
          <w:b/>
          <w:bCs/>
          <w:vanish/>
          <w:color w:val="0000FF"/>
          <w:sz w:val="20"/>
          <w:szCs w:val="20"/>
        </w:rPr>
        <w:br/>
        <w:t>**********************************************************************************************************</w:t>
      </w:r>
    </w:p>
    <w:p w14:paraId="572FA81C"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5A511F79"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Uninterruptible Power Supply (UPS) power for the following critical loads and equipment:</w:t>
      </w:r>
    </w:p>
    <w:p w14:paraId="753154F9"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 [      ], [      ]. The UPS system must provide [    ] minutes of emergency power to allow [startup and connection of the emergency generator] [an orderly shutdown of the critical loads].]</w:t>
      </w:r>
    </w:p>
    <w:p w14:paraId="0095C381"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D509003 GROUNDING SYSTEMS </w:t>
      </w:r>
    </w:p>
    <w:p w14:paraId="0C79E6D6"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3B995159"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D509004  LIGHTNING PROTECTION </w:t>
      </w:r>
    </w:p>
    <w:p w14:paraId="03D28BC1"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must make preliminary determination if a lightning protection system is required in accordance with UFC 3-575-01, </w:t>
      </w:r>
      <w:r>
        <w:rPr>
          <w:rFonts w:ascii="ArialMT" w:hAnsi="ArialMT" w:cs="ArialMT"/>
          <w:b/>
          <w:bCs/>
          <w:i/>
          <w:iCs/>
          <w:vanish/>
          <w:color w:val="0000FF"/>
          <w:sz w:val="20"/>
          <w:szCs w:val="20"/>
        </w:rPr>
        <w:t>Lightning and Static Electricity Protection</w:t>
      </w:r>
      <w:r>
        <w:rPr>
          <w:rFonts w:ascii="ArialMT" w:hAnsi="ArialMT" w:cs="ArialMT"/>
          <w:b/>
          <w:bCs/>
          <w:vanish/>
          <w:color w:val="0000FF"/>
          <w:sz w:val="20"/>
          <w:szCs w:val="20"/>
        </w:rPr>
        <w:t xml:space="preserve">.  A "UL Lightning Protection Inspection Certificate certified to NFPA 780" is now required in lieu of a “UL Master Label” when a system is provided.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the bracketed option(s) when additional buildings or systems will require work in order to qualify for the Certificate.  Delete when not required.</w:t>
      </w:r>
      <w:r>
        <w:rPr>
          <w:rFonts w:ascii="ArialMT" w:hAnsi="ArialMT" w:cs="ArialMT"/>
          <w:b/>
          <w:bCs/>
          <w:vanish/>
          <w:color w:val="0000FF"/>
          <w:sz w:val="20"/>
          <w:szCs w:val="20"/>
        </w:rPr>
        <w:br/>
        <w:t>**********************************************************************************************************</w:t>
      </w:r>
    </w:p>
    <w:p w14:paraId="3F4820C3"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4D1DB4C7"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install a complete lightning protection system in accordance with     UFC 3-575-01, </w:t>
      </w:r>
      <w:r>
        <w:rPr>
          <w:rFonts w:ascii="ArialMT" w:hAnsi="ArialMT" w:cs="ArialMT"/>
          <w:i/>
          <w:iCs/>
          <w:sz w:val="20"/>
          <w:szCs w:val="20"/>
        </w:rPr>
        <w:t>Lightning and Static Electricity Protection System</w:t>
      </w:r>
      <w:r>
        <w:rPr>
          <w:rFonts w:ascii="ArialMT" w:hAnsi="ArialMT" w:cs="ArialMT"/>
          <w:sz w:val="20"/>
          <w:szCs w:val="20"/>
        </w:rPr>
        <w:t>, with a UL Lightning Protection Inspection Certificate certified to NFPA 780, including, but not necessarily limited to, strike termination devices, conductors, ground terminals, interconnecting conductors, surge protective devices, and other connectors and fittings required for a complete and usable system.]</w:t>
      </w:r>
    </w:p>
    <w:p w14:paraId="07AD0B44"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[Work includes necessary modifications to the existing lightning protection system on [     ] such that the entire system meets the UL Lightning Protection Inspection Certificate certified to NFPA 780.] [Work includes installation of a complete lightning protection system on [      ] such that the entire system meets the UL Lightning Protection Inspection Certificate certified to NFPA 780.]</w:t>
      </w:r>
    </w:p>
    <w:p w14:paraId="1495E26F"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551C6EAD"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D509005 ELECTRIC HEATING </w:t>
      </w:r>
    </w:p>
    <w:p w14:paraId="3ECEBF16"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Electric heating systems are generally sized and rated by the mechanical designers. Coordinate with mechanical and specifically point out any proposed large electric heating loads.</w:t>
      </w:r>
      <w:r>
        <w:rPr>
          <w:rFonts w:ascii="ArialMT" w:hAnsi="ArialMT" w:cs="ArialMT"/>
          <w:b/>
          <w:bCs/>
          <w:vanish/>
          <w:color w:val="0000FF"/>
          <w:sz w:val="20"/>
          <w:szCs w:val="20"/>
        </w:rPr>
        <w:br/>
        <w:t>**********************************************************************************************************</w:t>
      </w:r>
    </w:p>
    <w:p w14:paraId="1C857979"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4791DF90"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423A7187"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57221631"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51BA40F3"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715A7A5F"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systems and equipment including [                  ]. Coordinate connection requirements with service entrance energy monitoring equipment.]</w:t>
      </w:r>
    </w:p>
    <w:p w14:paraId="37159562"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5210A8A4"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Verify that a life cycle cost analysis (LCCA) has been performed per UFC 1-200-02, by planning or otherwise perform a LCCA before design start.  Perform an analysis for your project using "PVWatts" at </w:t>
      </w:r>
      <w:hyperlink r:id="rId8"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9"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10"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642285D3"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1B74DF39"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roof mounted, grid connected, photovoltaic energy system including crystalline photovoltaic panels, inverters, combiner boxes, and support systems.  System inverters must have an output of [480Y/277v] [208Y/120v] [240/120v] [ ] and a minimum aggregate capacity of [ ]kw.</w:t>
      </w:r>
    </w:p>
    <w:p w14:paraId="6DA452F0"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p w14:paraId="540EBB18" w14:textId="77777777" w:rsidR="00B36201" w:rsidRDefault="00B3620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D509090 OTHER SPECIAL SYSTEMS AND DEVICES </w:t>
      </w:r>
    </w:p>
    <w:p w14:paraId="542C75F0"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400-Hertz power requirements must be determined by the RFP writer based on user requirements. Aircraft power requirements have changed drastically recently (kVA and power quality requirements have generally increased) and values and requirements indicated in UFC 4-121-10N and UFC 3-555-01N may not be accurate. New aircraft may contain an individual power monitor that disconnects the aircraft from ground power when voltages exceed very specific requirements and the trend is to provide individual stand-alone units per each aircraft in lieu of the original distribution system as called for in the UFCs. Several new aircraft (E2C Hawkeye 2000 for instance) now also require two separate power sources due to the power monitor requirements. Include specific equipment requirements including number of units, kVA, and other requirements.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Provide solid state frequency converters (UFGS Section 26 35 43) for most projects.  Only use 400 hertz motor generator sets when approved by the cognizant Facility Engineering Command (FEC).</w:t>
      </w:r>
      <w:r>
        <w:rPr>
          <w:rFonts w:ascii="ArialMT" w:hAnsi="ArialMT" w:cs="ArialMT"/>
          <w:b/>
          <w:bCs/>
          <w:vanish/>
          <w:color w:val="0000FF"/>
          <w:sz w:val="20"/>
          <w:szCs w:val="20"/>
        </w:rPr>
        <w:br/>
        <w:t>**********************************************************************************************************</w:t>
      </w:r>
    </w:p>
    <w:p w14:paraId="48B55972"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70353B69"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state frequency converter(s).]</w:t>
      </w:r>
    </w:p>
    <w:p w14:paraId="4535128C"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motor generator type frequency converter.]</w:t>
      </w:r>
    </w:p>
    <w:p w14:paraId="201551D0"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400 hertz power wiring and connections for the following loads and equipment:</w:t>
      </w:r>
    </w:p>
    <w:p w14:paraId="6CF060F1" w14:textId="77777777" w:rsidR="00B36201" w:rsidRDefault="00B36201">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 [      ].</w:t>
      </w:r>
    </w:p>
    <w:p w14:paraId="5CC3E939" w14:textId="77777777" w:rsidR="00B36201" w:rsidRDefault="00B3620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descriptions below for any other special systems required in the project.</w:t>
      </w:r>
      <w:r>
        <w:rPr>
          <w:rFonts w:ascii="ArialMT" w:hAnsi="ArialMT" w:cs="ArialMT"/>
          <w:b/>
          <w:bCs/>
          <w:vanish/>
          <w:color w:val="0000FF"/>
          <w:sz w:val="20"/>
          <w:szCs w:val="20"/>
        </w:rPr>
        <w:br/>
        <w:t>**********************************************************************************************************</w:t>
      </w:r>
    </w:p>
    <w:p w14:paraId="62D70A4B" w14:textId="77777777" w:rsidR="00B36201" w:rsidRDefault="00B36201">
      <w:pPr>
        <w:widowControl w:val="0"/>
        <w:autoSpaceDE w:val="0"/>
        <w:autoSpaceDN w:val="0"/>
        <w:adjustRightInd w:val="0"/>
        <w:spacing w:after="0" w:line="240" w:lineRule="auto"/>
        <w:rPr>
          <w:rFonts w:ascii="ArialMT" w:hAnsi="ArialMT" w:cs="ArialMT"/>
          <w:vanish/>
          <w:sz w:val="20"/>
          <w:szCs w:val="20"/>
        </w:rPr>
      </w:pPr>
    </w:p>
    <w:p w14:paraId="6EB2D03C"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for the following special systems:</w:t>
      </w:r>
    </w:p>
    <w:p w14:paraId="5CEB8AB3" w14:textId="77777777" w:rsidR="00B36201" w:rsidRDefault="00B36201">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w:t>
      </w:r>
    </w:p>
    <w:p w14:paraId="5334ED70" w14:textId="77777777" w:rsidR="00B36201" w:rsidRDefault="00B36201">
      <w:pPr>
        <w:widowControl w:val="0"/>
        <w:autoSpaceDE w:val="0"/>
        <w:autoSpaceDN w:val="0"/>
        <w:adjustRightInd w:val="0"/>
        <w:spacing w:after="0" w:line="240" w:lineRule="auto"/>
        <w:ind w:left="1060"/>
        <w:rPr>
          <w:rFonts w:ascii="ArialMT" w:hAnsi="ArialMT" w:cs="ArialMT"/>
          <w:sz w:val="20"/>
          <w:szCs w:val="20"/>
        </w:rPr>
      </w:pPr>
    </w:p>
    <w:p w14:paraId="3085B78E" w14:textId="77777777" w:rsidR="00B36201" w:rsidRDefault="00B3620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B36201">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EE0A2" w14:textId="77777777" w:rsidR="006C4AAC" w:rsidRDefault="006C4AAC">
      <w:pPr>
        <w:spacing w:after="0" w:line="240" w:lineRule="auto"/>
      </w:pPr>
      <w:r>
        <w:separator/>
      </w:r>
    </w:p>
  </w:endnote>
  <w:endnote w:type="continuationSeparator" w:id="0">
    <w:p w14:paraId="45596E46" w14:textId="77777777" w:rsidR="006C4AAC" w:rsidRDefault="006C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39BF8" w14:textId="77777777" w:rsidR="00B36201" w:rsidRDefault="00B3620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94C0A" w14:textId="77777777" w:rsidR="006C4AAC" w:rsidRDefault="006C4AAC">
      <w:pPr>
        <w:spacing w:after="0" w:line="240" w:lineRule="auto"/>
      </w:pPr>
      <w:r>
        <w:separator/>
      </w:r>
    </w:p>
  </w:footnote>
  <w:footnote w:type="continuationSeparator" w:id="0">
    <w:p w14:paraId="39FD86EC" w14:textId="77777777" w:rsidR="006C4AAC" w:rsidRDefault="006C4A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172B3" w14:textId="77777777" w:rsidR="00B36201" w:rsidRDefault="00B3620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286"/>
    <w:rsid w:val="005E7286"/>
    <w:rsid w:val="006C4AAC"/>
    <w:rsid w:val="00B22169"/>
    <w:rsid w:val="00B36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D9D96"/>
  <w14:defaultImageDpi w14:val="0"/>
  <w15:docId w15:val="{7ADD2F57-C952-451A-98B7-E7243B9F8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redc.nrel.gov/solar/codes%20algs/PVWATTS/version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dapcd.org"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navyenergy.navfac.navy.mil/duers/index.html" TargetMode="External"/><Relationship Id="rId4" Type="http://schemas.openxmlformats.org/officeDocument/2006/relationships/footnotes" Target="footnotes.xml"/><Relationship Id="rId9" Type="http://schemas.openxmlformats.org/officeDocument/2006/relationships/hyperlink" Target="http://www.dsireus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5669</Words>
  <Characters>32319</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2024-06-24T19:02:00Z</dcterms:created>
  <dcterms:modified xsi:type="dcterms:W3CDTF">2024-06-24T19:02:00Z</dcterms:modified>
  <cp:category>Design Build</cp:category>
</cp:coreProperties>
</file>