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BBF79" w14:textId="77777777" w:rsidR="007532DE" w:rsidRPr="00750C22" w:rsidRDefault="007532DE" w:rsidP="007532DE">
      <w:pPr>
        <w:pStyle w:val="SpecTitle"/>
      </w:pPr>
      <w:r w:rsidRPr="001B774F">
        <w:t xml:space="preserve">SECTION </w:t>
      </w:r>
      <w:r w:rsidRPr="00750C22">
        <w:t>09 67 23</w:t>
      </w:r>
      <w:r w:rsidRPr="001B774F">
        <w:br/>
      </w:r>
      <w:r w:rsidRPr="00750C22">
        <w:t>RESINOUS FLOORING</w:t>
      </w:r>
    </w:p>
    <w:p w14:paraId="26DD4AA4" w14:textId="77777777" w:rsidR="007532DE" w:rsidRDefault="007532DE" w:rsidP="007532DE">
      <w:pPr>
        <w:pStyle w:val="SpecNote"/>
      </w:pPr>
      <w:r>
        <w:t>SPEC WRITER NOTES:</w:t>
      </w:r>
    </w:p>
    <w:p w14:paraId="12854C93" w14:textId="77777777" w:rsidR="007532DE" w:rsidRDefault="007532DE" w:rsidP="007532DE">
      <w:pPr>
        <w:pStyle w:val="SpecNote"/>
      </w:pPr>
      <w:r>
        <w:t>1.</w:t>
      </w:r>
      <w:r>
        <w:tab/>
        <w:t>Use this section only for NCA projects.</w:t>
      </w:r>
    </w:p>
    <w:p w14:paraId="1ED75276" w14:textId="77777777" w:rsidR="007532DE" w:rsidRDefault="007532DE" w:rsidP="007532DE">
      <w:pPr>
        <w:pStyle w:val="SpecNote"/>
      </w:pPr>
      <w:r>
        <w:t>2.</w:t>
      </w:r>
      <w:r>
        <w:tab/>
        <w:t>Delete // ____// if not applicable to project. Also delete any other item or paragraph not applicable in the section and renumber the paragraphs.</w:t>
      </w:r>
    </w:p>
    <w:p w14:paraId="45832F0A" w14:textId="77777777" w:rsidR="007532DE" w:rsidRDefault="007532DE" w:rsidP="007532DE">
      <w:pPr>
        <w:pStyle w:val="SpecNote"/>
      </w:pPr>
      <w:r>
        <w:t>3.</w:t>
      </w:r>
      <w:r>
        <w:tab/>
        <w:t>Use in animal facilities, cage wash areas, and as scheduled in H-08-14.</w:t>
      </w:r>
    </w:p>
    <w:p w14:paraId="54B078FC" w14:textId="77777777" w:rsidR="007532DE" w:rsidRDefault="007532DE" w:rsidP="007532DE">
      <w:pPr>
        <w:pStyle w:val="ArticleB"/>
      </w:pPr>
      <w:r>
        <w:t>PART 1 - GENERAL</w:t>
      </w:r>
    </w:p>
    <w:p w14:paraId="111E3A09" w14:textId="77777777" w:rsidR="007532DE" w:rsidRDefault="007532DE" w:rsidP="007532DE">
      <w:pPr>
        <w:pStyle w:val="ArticleB"/>
      </w:pPr>
      <w:r>
        <w:t>1.1 DESCRIPTION</w:t>
      </w:r>
    </w:p>
    <w:p w14:paraId="4FA5209E" w14:textId="77777777" w:rsidR="007532DE" w:rsidRDefault="007532DE" w:rsidP="007532DE">
      <w:pPr>
        <w:pStyle w:val="Level1"/>
      </w:pPr>
      <w:r>
        <w:t>A.</w:t>
      </w:r>
      <w:r>
        <w:tab/>
        <w:t>This section specifies a seamless flooring system with integral base.</w:t>
      </w:r>
    </w:p>
    <w:p w14:paraId="0CE133D4" w14:textId="77777777" w:rsidR="007532DE" w:rsidRDefault="007532DE" w:rsidP="007532DE">
      <w:pPr>
        <w:pStyle w:val="Level1"/>
      </w:pPr>
      <w:r>
        <w:t>B.</w:t>
      </w:r>
      <w:r>
        <w:tab/>
        <w:t>Flooring consists of epoxy resin, aggregate, and finish coats for non-slip finish.</w:t>
      </w:r>
    </w:p>
    <w:p w14:paraId="368E0B1B" w14:textId="77777777" w:rsidR="007532DE" w:rsidRDefault="007532DE" w:rsidP="007532DE">
      <w:pPr>
        <w:pStyle w:val="ArticleB"/>
      </w:pPr>
      <w:r>
        <w:t>1.2 RELATED WORK</w:t>
      </w:r>
    </w:p>
    <w:p w14:paraId="024CE267" w14:textId="77777777" w:rsidR="007532DE" w:rsidRDefault="007532DE" w:rsidP="007532DE">
      <w:pPr>
        <w:pStyle w:val="Level1"/>
      </w:pPr>
      <w:r>
        <w:t>A.</w:t>
      </w:r>
      <w:r>
        <w:tab/>
        <w:t xml:space="preserve">Color and </w:t>
      </w:r>
      <w:r w:rsidR="00F46F5D">
        <w:t>Room Finish Schedule</w:t>
      </w:r>
      <w:r>
        <w:t xml:space="preserve">: </w:t>
      </w:r>
      <w:r w:rsidRPr="001B774F">
        <w:t>Section 09 06 00, SCHEDULE FOR FINISHES</w:t>
      </w:r>
      <w:r>
        <w:t>.</w:t>
      </w:r>
    </w:p>
    <w:p w14:paraId="5A9649DB" w14:textId="77777777" w:rsidR="007532DE" w:rsidRPr="007532DE" w:rsidRDefault="007532DE" w:rsidP="007532DE">
      <w:pPr>
        <w:pStyle w:val="ArticleB"/>
      </w:pPr>
      <w:r w:rsidRPr="007532DE">
        <w:t>1.</w:t>
      </w:r>
      <w:r>
        <w:t xml:space="preserve">3 </w:t>
      </w:r>
      <w:r w:rsidRPr="007532DE">
        <w:t>SUSTAINABILITY REQUIREMENTS</w:t>
      </w:r>
    </w:p>
    <w:p w14:paraId="529C387E" w14:textId="77777777" w:rsidR="007532DE" w:rsidRPr="007532DE" w:rsidRDefault="007532DE" w:rsidP="007532DE">
      <w:pPr>
        <w:pStyle w:val="Level1"/>
      </w:pPr>
      <w:r>
        <w:t>A.</w:t>
      </w:r>
      <w:r w:rsidRPr="007532DE">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4E3013C3" w14:textId="77777777" w:rsidR="007532DE" w:rsidRDefault="007532DE" w:rsidP="007532DE">
      <w:pPr>
        <w:pStyle w:val="ArticleB"/>
      </w:pPr>
      <w:r>
        <w:t>1.4 SUBMITTALS</w:t>
      </w:r>
    </w:p>
    <w:p w14:paraId="2572FF73" w14:textId="77777777" w:rsidR="007532DE" w:rsidRDefault="007532DE" w:rsidP="007532DE">
      <w:pPr>
        <w:pStyle w:val="Level1"/>
      </w:pPr>
      <w:r>
        <w:t>A.</w:t>
      </w:r>
      <w:r>
        <w:tab/>
        <w:t xml:space="preserve">Submit in accordance with </w:t>
      </w:r>
      <w:r w:rsidRPr="001B774F">
        <w:t xml:space="preserve">Section 01 33 23, SHOP DRAWINGS, PRODUCT DATA, AND </w:t>
      </w:r>
      <w:r w:rsidRPr="0041600C">
        <w:t>SAMPLES.</w:t>
      </w:r>
    </w:p>
    <w:p w14:paraId="47BEAFED" w14:textId="77777777" w:rsidR="007532DE" w:rsidRDefault="007532DE" w:rsidP="007532DE">
      <w:pPr>
        <w:pStyle w:val="Level1"/>
      </w:pPr>
      <w:r>
        <w:t>B.</w:t>
      </w:r>
      <w:r>
        <w:tab/>
        <w:t>Manufacturer's Literature and Data:</w:t>
      </w:r>
    </w:p>
    <w:p w14:paraId="796FE612" w14:textId="77777777" w:rsidR="007532DE" w:rsidRDefault="007532DE" w:rsidP="007532DE">
      <w:pPr>
        <w:pStyle w:val="Level2"/>
      </w:pPr>
      <w:r>
        <w:t>1.</w:t>
      </w:r>
      <w:r>
        <w:tab/>
        <w:t>Description of product to be provided; technical data showing compliance with specifications.</w:t>
      </w:r>
    </w:p>
    <w:p w14:paraId="54DA2B9C" w14:textId="77777777" w:rsidR="007532DE" w:rsidRDefault="007532DE" w:rsidP="007532DE">
      <w:pPr>
        <w:pStyle w:val="Level2"/>
      </w:pPr>
      <w:r>
        <w:t>2.</w:t>
      </w:r>
      <w:r>
        <w:tab/>
        <w:t>Application and installation instructions, including proposed deviations from specifications.</w:t>
      </w:r>
    </w:p>
    <w:p w14:paraId="50C7EF3D" w14:textId="77777777" w:rsidR="007532DE" w:rsidRDefault="007532DE" w:rsidP="007532DE">
      <w:pPr>
        <w:pStyle w:val="Level1"/>
      </w:pPr>
      <w:r>
        <w:t>C.</w:t>
      </w:r>
      <w:r>
        <w:tab/>
        <w:t>Samples:</w:t>
      </w:r>
    </w:p>
    <w:p w14:paraId="2131E2C2" w14:textId="77777777" w:rsidR="007532DE" w:rsidRDefault="007532DE" w:rsidP="007532DE">
      <w:pPr>
        <w:pStyle w:val="Level2"/>
      </w:pPr>
      <w:r>
        <w:t>1.</w:t>
      </w:r>
      <w:r>
        <w:tab/>
        <w:t xml:space="preserve">Each color specified in Section 09 06 00, </w:t>
      </w:r>
      <w:r w:rsidRPr="001B774F">
        <w:t>SCHEDULE FOR FINISHES</w:t>
      </w:r>
      <w:r>
        <w:t>.</w:t>
      </w:r>
    </w:p>
    <w:p w14:paraId="11D50006" w14:textId="77777777" w:rsidR="007532DE" w:rsidRDefault="007532DE" w:rsidP="007532DE">
      <w:pPr>
        <w:pStyle w:val="Level2"/>
      </w:pPr>
      <w:r>
        <w:t>2.</w:t>
      </w:r>
      <w:r>
        <w:tab/>
        <w:t>Sample 300 mm (12-inch) square in each finish specified.</w:t>
      </w:r>
    </w:p>
    <w:p w14:paraId="336EADF6" w14:textId="77777777" w:rsidR="007532DE" w:rsidRDefault="007532DE" w:rsidP="007532DE">
      <w:pPr>
        <w:pStyle w:val="Level2"/>
      </w:pPr>
      <w:r>
        <w:t>3.</w:t>
      </w:r>
      <w:r>
        <w:tab/>
        <w:t>Sample showing construction from substrate to finish surface in thickness specified.</w:t>
      </w:r>
    </w:p>
    <w:p w14:paraId="381490A8" w14:textId="77777777" w:rsidR="007532DE" w:rsidRDefault="007532DE" w:rsidP="007532DE">
      <w:pPr>
        <w:pStyle w:val="Level1"/>
      </w:pPr>
      <w:r>
        <w:t>D.</w:t>
      </w:r>
      <w:r>
        <w:tab/>
        <w:t>Certification and Approval:</w:t>
      </w:r>
    </w:p>
    <w:p w14:paraId="07FE5227" w14:textId="77777777" w:rsidR="007532DE" w:rsidRDefault="007532DE" w:rsidP="007532DE">
      <w:pPr>
        <w:pStyle w:val="Level2"/>
      </w:pPr>
      <w:r>
        <w:t>1.</w:t>
      </w:r>
      <w:r>
        <w:tab/>
        <w:t>Submit manufacturer's certification of material compliance.</w:t>
      </w:r>
    </w:p>
    <w:p w14:paraId="42A262D5" w14:textId="77777777" w:rsidR="007532DE" w:rsidRDefault="007532DE" w:rsidP="007532DE">
      <w:pPr>
        <w:pStyle w:val="Level2"/>
      </w:pPr>
      <w:r>
        <w:t>2.</w:t>
      </w:r>
      <w:r>
        <w:tab/>
        <w:t>Provide statement of manufacturer's approval of installers.</w:t>
      </w:r>
    </w:p>
    <w:p w14:paraId="6AB655DA" w14:textId="77777777" w:rsidR="007532DE" w:rsidRDefault="007532DE" w:rsidP="007532DE">
      <w:pPr>
        <w:pStyle w:val="Level2"/>
      </w:pPr>
      <w:r>
        <w:lastRenderedPageBreak/>
        <w:t>3.</w:t>
      </w:r>
      <w:r>
        <w:tab/>
        <w:t>Submit Contractor's certificate of compliance with Quality Assurance requirements.</w:t>
      </w:r>
    </w:p>
    <w:p w14:paraId="7008692E" w14:textId="77777777" w:rsidR="007532DE" w:rsidRDefault="007532DE" w:rsidP="007532DE">
      <w:pPr>
        <w:pStyle w:val="Level2"/>
      </w:pPr>
      <w:r>
        <w:t>4.</w:t>
      </w:r>
      <w:r>
        <w:tab/>
        <w:t xml:space="preserve">Provide documentation from an independent testing agency indicating compliance with the </w:t>
      </w:r>
      <w:proofErr w:type="spellStart"/>
      <w:r>
        <w:t>FloorScore</w:t>
      </w:r>
      <w:proofErr w:type="spellEnd"/>
      <w:r>
        <w:t xml:space="preserve"> standard.</w:t>
      </w:r>
    </w:p>
    <w:p w14:paraId="0DB7F383" w14:textId="77777777" w:rsidR="007532DE" w:rsidRDefault="007532DE" w:rsidP="007532DE">
      <w:pPr>
        <w:pStyle w:val="Level1"/>
      </w:pPr>
      <w:r>
        <w:t>E.</w:t>
      </w:r>
      <w:r>
        <w:tab/>
        <w:t>Warranty: Manufacturer's warranty of materials and installation.</w:t>
      </w:r>
    </w:p>
    <w:p w14:paraId="6505AE59" w14:textId="77777777" w:rsidR="007532DE" w:rsidRDefault="007532DE" w:rsidP="007532DE">
      <w:pPr>
        <w:pStyle w:val="ArticleB"/>
      </w:pPr>
      <w:r>
        <w:t>1.5 QUALITY ASSURANCE</w:t>
      </w:r>
    </w:p>
    <w:p w14:paraId="25FE6A4B" w14:textId="77777777" w:rsidR="007532DE" w:rsidRDefault="007532DE" w:rsidP="007532DE">
      <w:pPr>
        <w:pStyle w:val="Level1"/>
      </w:pPr>
      <w:r>
        <w:t>A.</w:t>
      </w:r>
      <w:r>
        <w:tab/>
        <w:t>Single Source Responsibility:</w:t>
      </w:r>
    </w:p>
    <w:p w14:paraId="2C40908B" w14:textId="77777777" w:rsidR="007532DE" w:rsidRDefault="007532DE" w:rsidP="007532DE">
      <w:pPr>
        <w:pStyle w:val="Level2"/>
      </w:pPr>
      <w:r>
        <w:t>1.</w:t>
      </w:r>
      <w:r>
        <w:tab/>
        <w:t xml:space="preserve">Obtain primary resinous flooring materials including primers, resins, hardening agents, finish or sealing coats from a single manufacturer. </w:t>
      </w:r>
    </w:p>
    <w:p w14:paraId="43F60168" w14:textId="77777777" w:rsidR="007532DE" w:rsidRDefault="007532DE" w:rsidP="007532DE">
      <w:pPr>
        <w:pStyle w:val="Level2"/>
      </w:pPr>
      <w:r>
        <w:t>2.</w:t>
      </w:r>
      <w:r>
        <w:tab/>
        <w:t>Provide secondary materials only of type and from source recommended by manufacturer of primary materials.</w:t>
      </w:r>
    </w:p>
    <w:p w14:paraId="4FA0D59C" w14:textId="77777777" w:rsidR="007532DE" w:rsidRDefault="007532DE" w:rsidP="007532DE">
      <w:pPr>
        <w:pStyle w:val="Level1"/>
      </w:pPr>
      <w:r>
        <w:t>B.</w:t>
      </w:r>
      <w:r>
        <w:tab/>
      </w:r>
      <w:r w:rsidR="00DB0FBC">
        <w:t xml:space="preserve">Installer Qualifications: </w:t>
      </w:r>
      <w:r>
        <w:t>Installer trained and approved by manufacturer of primary material and having completed at least five projects of similar size and complexity.</w:t>
      </w:r>
    </w:p>
    <w:p w14:paraId="682FB1EA" w14:textId="77777777" w:rsidR="007532DE" w:rsidRDefault="007532DE" w:rsidP="007532DE">
      <w:pPr>
        <w:pStyle w:val="Level1"/>
      </w:pPr>
      <w:r>
        <w:t>C.</w:t>
      </w:r>
      <w:r>
        <w:tab/>
        <w:t>Pre-Installation Conference:</w:t>
      </w:r>
    </w:p>
    <w:p w14:paraId="08C93B99" w14:textId="77777777" w:rsidR="007532DE" w:rsidRDefault="007532DE" w:rsidP="007532DE">
      <w:pPr>
        <w:pStyle w:val="Level2"/>
      </w:pPr>
      <w:r>
        <w:t>1.</w:t>
      </w:r>
      <w:r>
        <w:tab/>
        <w:t>Arrange a meeting not less than thirty days prior to starting work.</w:t>
      </w:r>
    </w:p>
    <w:p w14:paraId="2B000B0A" w14:textId="77777777" w:rsidR="007532DE" w:rsidRDefault="007532DE" w:rsidP="007532DE">
      <w:pPr>
        <w:pStyle w:val="Level2"/>
      </w:pPr>
      <w:r>
        <w:t>2.</w:t>
      </w:r>
      <w:r>
        <w:tab/>
        <w:t>Attendance:</w:t>
      </w:r>
    </w:p>
    <w:p w14:paraId="3BB449C9" w14:textId="77777777" w:rsidR="007532DE" w:rsidRDefault="007532DE" w:rsidP="007532DE">
      <w:pPr>
        <w:pStyle w:val="Level3"/>
      </w:pPr>
      <w:r>
        <w:t>a.</w:t>
      </w:r>
      <w:r>
        <w:tab/>
        <w:t>Contractor.</w:t>
      </w:r>
    </w:p>
    <w:p w14:paraId="0E7F84FB" w14:textId="77777777" w:rsidR="007532DE" w:rsidRDefault="007532DE" w:rsidP="007532DE">
      <w:pPr>
        <w:pStyle w:val="Level3"/>
      </w:pPr>
      <w:r>
        <w:t>b.</w:t>
      </w:r>
      <w:r>
        <w:tab/>
        <w:t>RE/COR.</w:t>
      </w:r>
    </w:p>
    <w:p w14:paraId="4D1D464F" w14:textId="77777777" w:rsidR="007532DE" w:rsidRDefault="007532DE" w:rsidP="007532DE">
      <w:pPr>
        <w:pStyle w:val="Level3"/>
      </w:pPr>
      <w:r>
        <w:t>c.</w:t>
      </w:r>
      <w:r>
        <w:tab/>
        <w:t>Manufacturer and Installer's Representative.</w:t>
      </w:r>
    </w:p>
    <w:p w14:paraId="771F1638" w14:textId="77777777" w:rsidR="007532DE" w:rsidRDefault="007532DE" w:rsidP="007532DE">
      <w:pPr>
        <w:pStyle w:val="ArticleB"/>
      </w:pPr>
      <w:r>
        <w:t>1.6 MATERIAL PACKAGING DELIVERY AND STORAGE</w:t>
      </w:r>
    </w:p>
    <w:p w14:paraId="7EA45428" w14:textId="77777777" w:rsidR="007532DE" w:rsidRDefault="007532DE" w:rsidP="007532DE">
      <w:pPr>
        <w:pStyle w:val="Level1"/>
      </w:pPr>
      <w:r>
        <w:t>A.</w:t>
      </w:r>
      <w:r>
        <w:tab/>
        <w:t>Deliver materials to the site in original sealed packages or containers, clearly marked with the manufacturer's name or brand, type and color, production run number and date of manufacture.</w:t>
      </w:r>
    </w:p>
    <w:p w14:paraId="013D7F71" w14:textId="77777777" w:rsidR="007532DE" w:rsidRDefault="007532DE" w:rsidP="007532DE">
      <w:pPr>
        <w:pStyle w:val="Level1"/>
      </w:pPr>
      <w:r>
        <w:t>B.</w:t>
      </w:r>
      <w:r>
        <w:tab/>
        <w:t>Protect materials from damage and contamination in storage.</w:t>
      </w:r>
    </w:p>
    <w:p w14:paraId="2F4EBDBC" w14:textId="77777777" w:rsidR="007532DE" w:rsidRDefault="007532DE" w:rsidP="007532DE">
      <w:pPr>
        <w:pStyle w:val="Level1"/>
      </w:pPr>
      <w:r>
        <w:t>C.</w:t>
      </w:r>
      <w:r>
        <w:tab/>
        <w:t>Maintain temperature of storage area between 15</w:t>
      </w:r>
      <w:r>
        <w:rPr>
          <w:vertAlign w:val="superscript"/>
        </w:rPr>
        <w:t>o</w:t>
      </w:r>
      <w:r>
        <w:t>C and 32</w:t>
      </w:r>
      <w:r>
        <w:rPr>
          <w:vertAlign w:val="superscript"/>
        </w:rPr>
        <w:t>o</w:t>
      </w:r>
      <w:r>
        <w:t>C (60</w:t>
      </w:r>
      <w:r>
        <w:rPr>
          <w:vertAlign w:val="superscript"/>
        </w:rPr>
        <w:t>o</w:t>
      </w:r>
      <w:r>
        <w:t xml:space="preserve"> and 90</w:t>
      </w:r>
      <w:r>
        <w:rPr>
          <w:vertAlign w:val="superscript"/>
        </w:rPr>
        <w:t>o</w:t>
      </w:r>
      <w:r>
        <w:t>F).</w:t>
      </w:r>
    </w:p>
    <w:p w14:paraId="7AD1AB2A" w14:textId="77777777" w:rsidR="007532DE" w:rsidRDefault="007532DE" w:rsidP="007532DE">
      <w:pPr>
        <w:pStyle w:val="Level1"/>
      </w:pPr>
      <w:r>
        <w:t>D.</w:t>
      </w:r>
      <w:r>
        <w:tab/>
        <w:t>Package materials in factory pre-weighed and in single, easy to manage batches sized for ease of handling and mixing proportions from entire package or packages.</w:t>
      </w:r>
    </w:p>
    <w:p w14:paraId="58A055BE" w14:textId="77777777" w:rsidR="007532DE" w:rsidRDefault="007532DE" w:rsidP="007532DE">
      <w:pPr>
        <w:pStyle w:val="ArticleB"/>
      </w:pPr>
      <w:r>
        <w:t>1.7 warranty</w:t>
      </w:r>
    </w:p>
    <w:p w14:paraId="1A06366A" w14:textId="77777777" w:rsidR="007532DE" w:rsidRDefault="007532DE" w:rsidP="007532DE">
      <w:pPr>
        <w:pStyle w:val="Level1"/>
      </w:pPr>
      <w:r>
        <w:t>A.</w:t>
      </w:r>
      <w:r>
        <w:tab/>
        <w:t>Work subject to the terms of the Article “Warranty of Construction” FAR clause 52.246-21.</w:t>
      </w:r>
    </w:p>
    <w:p w14:paraId="7B62328E" w14:textId="77777777" w:rsidR="007532DE" w:rsidRDefault="007532DE" w:rsidP="007532DE">
      <w:pPr>
        <w:pStyle w:val="Level1"/>
      </w:pPr>
      <w:r>
        <w:t>B.</w:t>
      </w:r>
      <w:r>
        <w:tab/>
        <w:t xml:space="preserve"> Extend warranty period to three years.</w:t>
      </w:r>
    </w:p>
    <w:p w14:paraId="013A7EAE" w14:textId="77777777" w:rsidR="007532DE" w:rsidRDefault="007532DE" w:rsidP="007532DE">
      <w:pPr>
        <w:pStyle w:val="SpecNote"/>
      </w:pPr>
      <w:r>
        <w:t>SPEC WRITER NOTES:</w:t>
      </w:r>
    </w:p>
    <w:p w14:paraId="3C1A8DE3" w14:textId="77777777" w:rsidR="007532DE" w:rsidRDefault="007532DE" w:rsidP="007532DE">
      <w:pPr>
        <w:pStyle w:val="SpecNote"/>
      </w:pPr>
      <w:r>
        <w:t>1.</w:t>
      </w:r>
      <w:r>
        <w:tab/>
        <w:t>Update and specify in publications listing and Part 2 only that, which applies to the project.</w:t>
      </w:r>
    </w:p>
    <w:p w14:paraId="61C20B8A" w14:textId="77777777" w:rsidR="005F3717" w:rsidRDefault="005F3717" w:rsidP="005F3717">
      <w:pPr>
        <w:pStyle w:val="ArticleB"/>
      </w:pPr>
      <w:r>
        <w:lastRenderedPageBreak/>
        <w:t>1.8 APPLICABLE PUBLICATIONS</w:t>
      </w:r>
    </w:p>
    <w:p w14:paraId="6C419CC6" w14:textId="77777777" w:rsidR="005F3717" w:rsidRDefault="005F3717" w:rsidP="005F3717">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2C284A7F" w14:textId="77777777" w:rsidR="005F3717" w:rsidRDefault="005F3717" w:rsidP="005F3717">
      <w:pPr>
        <w:pStyle w:val="SpecNote"/>
      </w:pPr>
      <w:r>
        <w:t>SPEC WRITER NOTES:</w:t>
      </w:r>
    </w:p>
    <w:p w14:paraId="20BEB9A3" w14:textId="77777777" w:rsidR="005F3717" w:rsidRDefault="005F3717" w:rsidP="005F3717">
      <w:pPr>
        <w:pStyle w:val="SpecNote"/>
      </w:pPr>
      <w:r>
        <w:t>1.</w:t>
      </w:r>
      <w:r>
        <w:tab/>
        <w:t>Remove reference citations that do not remain in Part 2 or Part 3 of edited specification.</w:t>
      </w:r>
    </w:p>
    <w:p w14:paraId="4FE47157" w14:textId="77777777" w:rsidR="005F3717" w:rsidRDefault="005F3717" w:rsidP="005F3717">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09DCE941" w14:textId="77777777" w:rsidR="007532DE" w:rsidRDefault="007532DE" w:rsidP="007532DE">
      <w:pPr>
        <w:pStyle w:val="Level1"/>
      </w:pPr>
      <w:r>
        <w:t>B.</w:t>
      </w:r>
      <w:r>
        <w:tab/>
        <w:t>American Society for Testing and Materials (ASTM):</w:t>
      </w:r>
    </w:p>
    <w:p w14:paraId="7AED237F" w14:textId="5BB68190" w:rsidR="007532DE" w:rsidRPr="00C05F14" w:rsidRDefault="00F02902" w:rsidP="00C05F14">
      <w:pPr>
        <w:pStyle w:val="Pubs"/>
      </w:pPr>
      <w:r w:rsidRPr="00F02902">
        <w:rPr>
          <w:rFonts w:ascii="Arial" w:hAnsi="Arial" w:cs="Arial"/>
          <w:b/>
          <w:bCs/>
          <w:color w:val="232F3A"/>
          <w:shd w:val="clear" w:color="auto" w:fill="FFFFFF"/>
        </w:rPr>
        <w:t xml:space="preserve"> </w:t>
      </w:r>
      <w:r w:rsidRPr="003A5D1A">
        <w:rPr>
          <w:rFonts w:cs="Courier New"/>
          <w:color w:val="232F3A"/>
          <w:shd w:val="clear" w:color="auto" w:fill="FFFFFF"/>
        </w:rPr>
        <w:t>B221M-21</w:t>
      </w:r>
      <w:r w:rsidR="007532DE" w:rsidRPr="00C05F14">
        <w:tab/>
        <w:t>Aluminum and Aluminum-Alloy Extruded Bars, Rods, Wire, Shapes, and Tubes</w:t>
      </w:r>
    </w:p>
    <w:p w14:paraId="7677CAE0" w14:textId="03955FD6" w:rsidR="007532DE" w:rsidRPr="00C05F14" w:rsidRDefault="00F02902" w:rsidP="00C05F14">
      <w:pPr>
        <w:pStyle w:val="Pubs"/>
      </w:pPr>
      <w:r w:rsidRPr="00F02902">
        <w:rPr>
          <w:rFonts w:ascii="Arial" w:hAnsi="Arial" w:cs="Arial"/>
          <w:b/>
          <w:bCs/>
          <w:color w:val="232F3A"/>
          <w:shd w:val="clear" w:color="auto" w:fill="FFFFFF"/>
        </w:rPr>
        <w:t xml:space="preserve"> </w:t>
      </w:r>
      <w:r w:rsidRPr="003A5D1A">
        <w:rPr>
          <w:rFonts w:cs="Courier New"/>
          <w:color w:val="232F3A"/>
          <w:shd w:val="clear" w:color="auto" w:fill="FFFFFF"/>
        </w:rPr>
        <w:t>C267-20</w:t>
      </w:r>
      <w:r w:rsidR="007532DE" w:rsidRPr="00C05F14">
        <w:tab/>
        <w:t xml:space="preserve">Chemical Resistance of Mortars, Grouts, and Monolithic </w:t>
      </w:r>
      <w:proofErr w:type="spellStart"/>
      <w:r w:rsidR="007532DE" w:rsidRPr="00C05F14">
        <w:t>Surfacings</w:t>
      </w:r>
      <w:proofErr w:type="spellEnd"/>
    </w:p>
    <w:p w14:paraId="6CAEEA6F" w14:textId="148A4526" w:rsidR="007532DE" w:rsidRPr="00C05F14" w:rsidRDefault="00F02902" w:rsidP="00C05F14">
      <w:pPr>
        <w:pStyle w:val="Pubs"/>
      </w:pPr>
      <w:r w:rsidRPr="00F02902">
        <w:rPr>
          <w:rFonts w:ascii="Arial" w:hAnsi="Arial" w:cs="Arial"/>
          <w:b/>
          <w:bCs/>
          <w:color w:val="232F3A"/>
          <w:shd w:val="clear" w:color="auto" w:fill="FFFFFF"/>
        </w:rPr>
        <w:t xml:space="preserve"> </w:t>
      </w:r>
      <w:r w:rsidRPr="003A5D1A">
        <w:rPr>
          <w:rFonts w:cs="Courier New"/>
          <w:color w:val="232F3A"/>
          <w:shd w:val="clear" w:color="auto" w:fill="FFFFFF"/>
        </w:rPr>
        <w:t>C413-18</w:t>
      </w:r>
      <w:r w:rsidR="007532DE" w:rsidRPr="00C05F14">
        <w:tab/>
        <w:t xml:space="preserve">Absorption of Chemical-Resistant Mortars, Grouts, and Monolithic </w:t>
      </w:r>
      <w:proofErr w:type="spellStart"/>
      <w:r w:rsidR="007532DE" w:rsidRPr="00C05F14">
        <w:t>Surfacings</w:t>
      </w:r>
      <w:proofErr w:type="spellEnd"/>
      <w:r w:rsidR="007532DE" w:rsidRPr="00C05F14">
        <w:t>, and Polymer Concretes</w:t>
      </w:r>
    </w:p>
    <w:p w14:paraId="0D64964B" w14:textId="178B8352" w:rsidR="007532DE" w:rsidRPr="00C05F14" w:rsidRDefault="00F02902" w:rsidP="00C05F14">
      <w:pPr>
        <w:pStyle w:val="Pubs"/>
      </w:pPr>
      <w:r w:rsidRPr="00F02902">
        <w:rPr>
          <w:rFonts w:ascii="Arial" w:hAnsi="Arial" w:cs="Arial"/>
          <w:b/>
          <w:bCs/>
          <w:color w:val="232F3A"/>
          <w:shd w:val="clear" w:color="auto" w:fill="FFFFFF"/>
        </w:rPr>
        <w:t xml:space="preserve"> </w:t>
      </w:r>
      <w:r w:rsidRPr="003A5D1A">
        <w:rPr>
          <w:rFonts w:cs="Courier New"/>
          <w:color w:val="232F3A"/>
          <w:shd w:val="clear" w:color="auto" w:fill="FFFFFF"/>
        </w:rPr>
        <w:t>C580-18</w:t>
      </w:r>
      <w:r w:rsidR="007532DE" w:rsidRPr="00C05F14">
        <w:tab/>
        <w:t xml:space="preserve">Flexural Strength and Modulus of Elasticity of Chemical Resistant Mortars, Grouts, Monolithic </w:t>
      </w:r>
      <w:proofErr w:type="spellStart"/>
      <w:r w:rsidR="007532DE" w:rsidRPr="00C05F14">
        <w:t>Surfacings</w:t>
      </w:r>
      <w:proofErr w:type="spellEnd"/>
      <w:r w:rsidR="007532DE" w:rsidRPr="00C05F14">
        <w:t xml:space="preserve"> and Polymer Concretes</w:t>
      </w:r>
    </w:p>
    <w:p w14:paraId="66E6795C" w14:textId="5E39A353" w:rsidR="007532DE" w:rsidRPr="00C05F14" w:rsidRDefault="00DC2407" w:rsidP="00C05F14">
      <w:pPr>
        <w:pStyle w:val="Pubs"/>
      </w:pPr>
      <w:r w:rsidRPr="00DC2407">
        <w:rPr>
          <w:rFonts w:ascii="Arial" w:hAnsi="Arial" w:cs="Arial"/>
          <w:b/>
          <w:bCs/>
          <w:color w:val="232F3A"/>
          <w:shd w:val="clear" w:color="auto" w:fill="FFFFFF"/>
        </w:rPr>
        <w:t xml:space="preserve"> </w:t>
      </w:r>
      <w:r w:rsidRPr="003A5D1A">
        <w:rPr>
          <w:rFonts w:cs="Courier New"/>
          <w:color w:val="232F3A"/>
          <w:shd w:val="clear" w:color="auto" w:fill="FFFFFF"/>
        </w:rPr>
        <w:t>C722-18</w:t>
      </w:r>
      <w:r w:rsidR="007532DE" w:rsidRPr="00C05F14">
        <w:tab/>
        <w:t>Chemical-Resistant Resin Monolithic Surfacing</w:t>
      </w:r>
    </w:p>
    <w:p w14:paraId="32CAAE84" w14:textId="643B8C61" w:rsidR="007532DE" w:rsidRPr="00C05F14" w:rsidRDefault="00DC2407" w:rsidP="00C05F14">
      <w:pPr>
        <w:pStyle w:val="Pubs"/>
      </w:pPr>
      <w:r w:rsidRPr="00DC2407">
        <w:rPr>
          <w:rFonts w:ascii="Arial" w:hAnsi="Arial" w:cs="Arial"/>
          <w:b/>
          <w:bCs/>
          <w:color w:val="232F3A"/>
          <w:shd w:val="clear" w:color="auto" w:fill="FFFFFF"/>
        </w:rPr>
        <w:t xml:space="preserve"> </w:t>
      </w:r>
      <w:r w:rsidRPr="003A5D1A">
        <w:rPr>
          <w:rFonts w:cs="Courier New"/>
          <w:color w:val="232F3A"/>
          <w:shd w:val="clear" w:color="auto" w:fill="FFFFFF"/>
        </w:rPr>
        <w:t>C882/C882M-20</w:t>
      </w:r>
      <w:r w:rsidR="007532DE" w:rsidRPr="00C05F14">
        <w:tab/>
        <w:t>Bond Strength of Epoxy-Resin Systems Used with Concrete by Slant Shear</w:t>
      </w:r>
    </w:p>
    <w:p w14:paraId="2495CD9B" w14:textId="5B854E49" w:rsidR="00335860" w:rsidRPr="00C05F14" w:rsidRDefault="00DC2407" w:rsidP="00C05F14">
      <w:pPr>
        <w:pStyle w:val="Pubs"/>
      </w:pPr>
      <w:r w:rsidRPr="00DC2407">
        <w:rPr>
          <w:rFonts w:ascii="Arial" w:hAnsi="Arial" w:cs="Arial"/>
          <w:b/>
          <w:bCs/>
          <w:color w:val="232F3A"/>
          <w:shd w:val="clear" w:color="auto" w:fill="FFFFFF"/>
        </w:rPr>
        <w:t xml:space="preserve"> </w:t>
      </w:r>
      <w:r w:rsidRPr="003A5D1A">
        <w:rPr>
          <w:rFonts w:cs="Courier New"/>
          <w:color w:val="232F3A"/>
          <w:shd w:val="clear" w:color="auto" w:fill="FFFFFF"/>
        </w:rPr>
        <w:t>D635-22</w:t>
      </w:r>
      <w:r w:rsidR="00335860" w:rsidRPr="00C05F14">
        <w:tab/>
        <w:t>Rate of Burning and/or Extent and Time of Burning of Pla</w:t>
      </w:r>
      <w:r w:rsidR="004D782A">
        <w:t>stics in a Horizontal Position</w:t>
      </w:r>
    </w:p>
    <w:p w14:paraId="21FD6A02" w14:textId="241939B0" w:rsidR="007532DE" w:rsidRPr="00C05F14" w:rsidRDefault="00DC2407" w:rsidP="00C05F14">
      <w:pPr>
        <w:pStyle w:val="Pubs"/>
      </w:pPr>
      <w:r w:rsidRPr="00DC2407">
        <w:rPr>
          <w:rFonts w:ascii="Arial" w:hAnsi="Arial" w:cs="Arial"/>
          <w:b/>
          <w:bCs/>
          <w:color w:val="232F3A"/>
          <w:shd w:val="clear" w:color="auto" w:fill="FFFFFF"/>
        </w:rPr>
        <w:t xml:space="preserve"> </w:t>
      </w:r>
      <w:r w:rsidRPr="003A5D1A">
        <w:rPr>
          <w:rFonts w:cs="Courier New"/>
          <w:color w:val="232F3A"/>
          <w:shd w:val="clear" w:color="auto" w:fill="FFFFFF"/>
        </w:rPr>
        <w:t>D2047-17</w:t>
      </w:r>
      <w:r w:rsidR="007532DE" w:rsidRPr="00C05F14">
        <w:tab/>
        <w:t>Static Coefficient of Friction of Polish-Coated Floor Surfaces as Measured by the James Machine</w:t>
      </w:r>
    </w:p>
    <w:p w14:paraId="11D89922" w14:textId="76C6CF61" w:rsidR="00335860" w:rsidRPr="00C05F14" w:rsidRDefault="00DC2407" w:rsidP="00C05F14">
      <w:pPr>
        <w:pStyle w:val="Pubs"/>
      </w:pPr>
      <w:r w:rsidRPr="00DC2407">
        <w:rPr>
          <w:rFonts w:ascii="Arial" w:hAnsi="Arial" w:cs="Arial"/>
          <w:b/>
          <w:bCs/>
          <w:color w:val="232F3A"/>
          <w:shd w:val="clear" w:color="auto" w:fill="FFFFFF"/>
        </w:rPr>
        <w:t xml:space="preserve"> </w:t>
      </w:r>
      <w:r w:rsidRPr="003A5D1A">
        <w:rPr>
          <w:rFonts w:cs="Courier New"/>
          <w:color w:val="232F3A"/>
          <w:shd w:val="clear" w:color="auto" w:fill="FFFFFF"/>
        </w:rPr>
        <w:t>D2240-15(2021)</w:t>
      </w:r>
      <w:r w:rsidR="00335860" w:rsidRPr="00C05F14">
        <w:tab/>
        <w:t>Rubber Property - Durometer Hardness</w:t>
      </w:r>
    </w:p>
    <w:p w14:paraId="3D776EFD" w14:textId="440EB027" w:rsidR="00335860" w:rsidRPr="00C05F14" w:rsidRDefault="00DC2407" w:rsidP="00C05F14">
      <w:pPr>
        <w:pStyle w:val="Pubs"/>
      </w:pPr>
      <w:r w:rsidRPr="00DC2407">
        <w:rPr>
          <w:b/>
          <w:bCs/>
        </w:rPr>
        <w:t xml:space="preserve"> </w:t>
      </w:r>
      <w:r w:rsidRPr="003A5D1A">
        <w:rPr>
          <w:rFonts w:cs="Courier New"/>
        </w:rPr>
        <w:t>D4060-19</w:t>
      </w:r>
      <w:r>
        <w:t> </w:t>
      </w:r>
      <w:r w:rsidR="00335860" w:rsidRPr="00C05F14">
        <w:tab/>
        <w:t xml:space="preserve">Abrasion Resistance of Organic Coatings by the Taber </w:t>
      </w:r>
      <w:proofErr w:type="spellStart"/>
      <w:r w:rsidR="00335860" w:rsidRPr="00C05F14">
        <w:t>Abraser</w:t>
      </w:r>
      <w:proofErr w:type="spellEnd"/>
    </w:p>
    <w:p w14:paraId="29E9BE3F" w14:textId="0288A203" w:rsidR="00335860" w:rsidRPr="00C05F14" w:rsidRDefault="00C76ABE" w:rsidP="00C05F14">
      <w:pPr>
        <w:pStyle w:val="Pubs"/>
      </w:pPr>
      <w:r w:rsidRPr="00C76ABE">
        <w:rPr>
          <w:rFonts w:ascii="Arial" w:hAnsi="Arial" w:cs="Arial"/>
          <w:b/>
          <w:bCs/>
          <w:color w:val="232F3A"/>
          <w:shd w:val="clear" w:color="auto" w:fill="FFFFFF"/>
        </w:rPr>
        <w:t xml:space="preserve"> </w:t>
      </w:r>
      <w:r w:rsidRPr="003A5D1A">
        <w:rPr>
          <w:rFonts w:cs="Courier New"/>
          <w:color w:val="232F3A"/>
          <w:shd w:val="clear" w:color="auto" w:fill="FFFFFF"/>
        </w:rPr>
        <w:t>F1869-22</w:t>
      </w:r>
      <w:r w:rsidR="00335860" w:rsidRPr="00C05F14">
        <w:tab/>
        <w:t>Measuring Moisture Vapor Emission Rate of Concrete Subfloor Using Anhydrous Calcium Chloride</w:t>
      </w:r>
    </w:p>
    <w:p w14:paraId="073444AB" w14:textId="4EBBF866" w:rsidR="00335860" w:rsidRPr="00C05F14" w:rsidRDefault="00C76ABE" w:rsidP="00C05F14">
      <w:pPr>
        <w:pStyle w:val="Pubs"/>
      </w:pPr>
      <w:r w:rsidRPr="00C76ABE">
        <w:rPr>
          <w:rFonts w:ascii="Arial" w:hAnsi="Arial" w:cs="Arial"/>
          <w:b/>
          <w:bCs/>
          <w:color w:val="232F3A"/>
          <w:shd w:val="clear" w:color="auto" w:fill="FFFFFF"/>
        </w:rPr>
        <w:t xml:space="preserve"> </w:t>
      </w:r>
      <w:r w:rsidRPr="003A5D1A">
        <w:rPr>
          <w:rFonts w:cs="Courier New"/>
          <w:color w:val="232F3A"/>
          <w:shd w:val="clear" w:color="auto" w:fill="FFFFFF"/>
        </w:rPr>
        <w:t>F2170-19a</w:t>
      </w:r>
      <w:r w:rsidR="00335860" w:rsidRPr="00C05F14">
        <w:tab/>
        <w:t xml:space="preserve">Determining Relative Humidity in Concrete Floor Slabs Using in situ </w:t>
      </w:r>
      <w:proofErr w:type="gramStart"/>
      <w:r w:rsidR="00335860" w:rsidRPr="00C05F14">
        <w:t>Probes</w:t>
      </w:r>
      <w:proofErr w:type="gramEnd"/>
    </w:p>
    <w:p w14:paraId="7B3AF60F" w14:textId="77777777" w:rsidR="007532DE" w:rsidRDefault="007532DE" w:rsidP="007532DE">
      <w:pPr>
        <w:pStyle w:val="Level1"/>
      </w:pPr>
      <w:r>
        <w:lastRenderedPageBreak/>
        <w:t>C.</w:t>
      </w:r>
      <w:r>
        <w:tab/>
        <w:t>National Association of Architectural Metal Manufacturers (NAAMM):</w:t>
      </w:r>
    </w:p>
    <w:p w14:paraId="1FFEA885" w14:textId="77777777" w:rsidR="007532DE" w:rsidRDefault="007532DE" w:rsidP="007532DE">
      <w:pPr>
        <w:pStyle w:val="Pubs"/>
      </w:pPr>
      <w:r>
        <w:t>AMP 501</w:t>
      </w:r>
      <w:r>
        <w:tab/>
        <w:t>Finishes for Aluminum</w:t>
      </w:r>
    </w:p>
    <w:p w14:paraId="0793AE97" w14:textId="77777777" w:rsidR="007532DE" w:rsidRDefault="007532DE" w:rsidP="007532DE">
      <w:pPr>
        <w:pStyle w:val="ArticleB"/>
      </w:pPr>
      <w:r>
        <w:t>PART 2 - PRODUCTS</w:t>
      </w:r>
    </w:p>
    <w:p w14:paraId="479D9A24" w14:textId="77777777" w:rsidR="007532DE" w:rsidRDefault="007532DE" w:rsidP="007532DE">
      <w:pPr>
        <w:pStyle w:val="SpecNote"/>
      </w:pPr>
      <w:r>
        <w:t>SPEC WRITER NOTES:</w:t>
      </w:r>
    </w:p>
    <w:p w14:paraId="042F3544" w14:textId="77777777" w:rsidR="007532DE" w:rsidRDefault="007532DE" w:rsidP="007532DE">
      <w:pPr>
        <w:pStyle w:val="SpecNote"/>
      </w:pPr>
      <w:r>
        <w:t>1.</w:t>
      </w:r>
      <w:r>
        <w:tab/>
        <w:t>Make material requirements agree with applicable publications specified in the referenced Applicable Publications. Update and specify only that which applies to the project.</w:t>
      </w:r>
    </w:p>
    <w:p w14:paraId="221B318B" w14:textId="77777777" w:rsidR="007532DE" w:rsidRDefault="007532DE" w:rsidP="007532DE">
      <w:pPr>
        <w:pStyle w:val="ArticleB"/>
      </w:pPr>
      <w:r>
        <w:t>2.1 SYSTEM DESCRIPTION</w:t>
      </w:r>
    </w:p>
    <w:p w14:paraId="0848720C" w14:textId="77777777" w:rsidR="007532DE" w:rsidRDefault="007532DE" w:rsidP="007532DE">
      <w:pPr>
        <w:pStyle w:val="Level1"/>
      </w:pPr>
      <w:r>
        <w:t>A.</w:t>
      </w:r>
      <w:r>
        <w:tab/>
        <w:t>Epoxy resinous flooring includes concrete epoxy primer, colored quartz aggregate epoxy resin mortar, clear epoxy sealer coat, and finish coat for non-slip finish.</w:t>
      </w:r>
    </w:p>
    <w:p w14:paraId="5E4BF3F3" w14:textId="77777777" w:rsidR="007532DE" w:rsidRDefault="007532DE" w:rsidP="007532DE">
      <w:pPr>
        <w:pStyle w:val="Level1"/>
      </w:pPr>
      <w:r>
        <w:t>B.</w:t>
      </w:r>
      <w:r>
        <w:tab/>
        <w:t xml:space="preserve">System </w:t>
      </w:r>
      <w:r w:rsidR="00335860">
        <w:t xml:space="preserve">to </w:t>
      </w:r>
      <w:r>
        <w:t xml:space="preserve">be resistant </w:t>
      </w:r>
      <w:r w:rsidR="00335860">
        <w:t xml:space="preserve">to </w:t>
      </w:r>
      <w:r>
        <w:t>chemicals and abrasion.</w:t>
      </w:r>
    </w:p>
    <w:p w14:paraId="22DA96F5" w14:textId="77777777" w:rsidR="007532DE" w:rsidRDefault="007532DE" w:rsidP="007532DE">
      <w:pPr>
        <w:pStyle w:val="Level1"/>
      </w:pPr>
      <w:r>
        <w:t>C.</w:t>
      </w:r>
      <w:r>
        <w:tab/>
        <w:t xml:space="preserve">Comply with requirements of </w:t>
      </w:r>
      <w:proofErr w:type="spellStart"/>
      <w:r>
        <w:t>FloorScore</w:t>
      </w:r>
      <w:proofErr w:type="spellEnd"/>
      <w:r>
        <w:t xml:space="preserve"> standard.</w:t>
      </w:r>
    </w:p>
    <w:p w14:paraId="36DDFB23" w14:textId="77777777" w:rsidR="007532DE" w:rsidRDefault="007532DE" w:rsidP="007532DE">
      <w:pPr>
        <w:pStyle w:val="ArticleB"/>
      </w:pPr>
      <w:r>
        <w:t>2.2 EPOXY FLOORING SYSTEM</w:t>
      </w:r>
    </w:p>
    <w:p w14:paraId="7CF84826" w14:textId="77777777" w:rsidR="00335860" w:rsidRDefault="00335860" w:rsidP="00335860">
      <w:pPr>
        <w:pStyle w:val="SpecNote"/>
      </w:pPr>
      <w:r>
        <w:t>SPEC WRITER NOTES:</w:t>
      </w:r>
    </w:p>
    <w:p w14:paraId="5BF4E339" w14:textId="77777777" w:rsidR="00335860" w:rsidRDefault="00335860" w:rsidP="00335860">
      <w:pPr>
        <w:pStyle w:val="SpecNote"/>
      </w:pPr>
      <w:r>
        <w:t>1.</w:t>
      </w:r>
      <w:r>
        <w:tab/>
        <w:t xml:space="preserve">Type A </w:t>
      </w:r>
      <w:proofErr w:type="spellStart"/>
      <w:r>
        <w:t>surfacings</w:t>
      </w:r>
      <w:proofErr w:type="spellEnd"/>
      <w:r>
        <w:t xml:space="preserve"> are chemical resistant and moderate to heavy traffic resistant.</w:t>
      </w:r>
    </w:p>
    <w:p w14:paraId="5CBDE0A4" w14:textId="77777777" w:rsidR="00335860" w:rsidRDefault="00335860" w:rsidP="00335860">
      <w:pPr>
        <w:pStyle w:val="SpecNote"/>
      </w:pPr>
      <w:r>
        <w:t>2.</w:t>
      </w:r>
      <w:r>
        <w:tab/>
        <w:t>Modify to Type B for mild chemical resistance and severe thermal shock stability.</w:t>
      </w:r>
    </w:p>
    <w:p w14:paraId="7B5FD2BC" w14:textId="77777777" w:rsidR="007532DE" w:rsidRDefault="007532DE" w:rsidP="00335860">
      <w:pPr>
        <w:pStyle w:val="Level1"/>
      </w:pPr>
      <w:r>
        <w:t>A.</w:t>
      </w:r>
      <w:r>
        <w:tab/>
        <w:t>Conform to ASTM C722, Type A, Epoxy resin, quartz aggregate.</w:t>
      </w:r>
    </w:p>
    <w:p w14:paraId="26246A5D" w14:textId="77777777" w:rsidR="007532DE" w:rsidRDefault="007532DE" w:rsidP="00335860">
      <w:pPr>
        <w:pStyle w:val="Level1"/>
      </w:pPr>
      <w:r>
        <w:t>B.</w:t>
      </w:r>
      <w:r>
        <w:tab/>
        <w:t>Physical Properties of flooring system addition to C722 when tested 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8"/>
        <w:gridCol w:w="3150"/>
        <w:gridCol w:w="2520"/>
      </w:tblGrid>
      <w:tr w:rsidR="007532DE" w14:paraId="514A939F" w14:textId="77777777" w:rsidTr="00335860">
        <w:trPr>
          <w:tblHeader/>
          <w:jc w:val="center"/>
        </w:trPr>
        <w:tc>
          <w:tcPr>
            <w:tcW w:w="2538" w:type="dxa"/>
            <w:tcBorders>
              <w:top w:val="single" w:sz="6" w:space="0" w:color="auto"/>
              <w:left w:val="single" w:sz="6" w:space="0" w:color="auto"/>
              <w:bottom w:val="single" w:sz="6" w:space="0" w:color="auto"/>
              <w:right w:val="single" w:sz="6" w:space="0" w:color="auto"/>
            </w:tcBorders>
          </w:tcPr>
          <w:p w14:paraId="5E113332" w14:textId="77777777" w:rsidR="007532DE" w:rsidRPr="007532DE" w:rsidRDefault="007532DE" w:rsidP="00335860">
            <w:pPr>
              <w:pStyle w:val="SpecTable"/>
              <w:rPr>
                <w:b/>
              </w:rPr>
            </w:pPr>
            <w:r w:rsidRPr="007532DE">
              <w:rPr>
                <w:b/>
              </w:rPr>
              <w:t>PROPERTY</w:t>
            </w:r>
          </w:p>
        </w:tc>
        <w:tc>
          <w:tcPr>
            <w:tcW w:w="3150" w:type="dxa"/>
            <w:tcBorders>
              <w:top w:val="single" w:sz="6" w:space="0" w:color="auto"/>
              <w:left w:val="single" w:sz="6" w:space="0" w:color="auto"/>
              <w:bottom w:val="single" w:sz="6" w:space="0" w:color="auto"/>
              <w:right w:val="single" w:sz="6" w:space="0" w:color="auto"/>
            </w:tcBorders>
          </w:tcPr>
          <w:p w14:paraId="54E5F4F5" w14:textId="77777777" w:rsidR="007532DE" w:rsidRPr="007532DE" w:rsidRDefault="007532DE" w:rsidP="00335860">
            <w:pPr>
              <w:pStyle w:val="SpecTable"/>
              <w:rPr>
                <w:b/>
              </w:rPr>
            </w:pPr>
            <w:r w:rsidRPr="007532DE">
              <w:rPr>
                <w:b/>
              </w:rPr>
              <w:t>TEST</w:t>
            </w:r>
          </w:p>
        </w:tc>
        <w:tc>
          <w:tcPr>
            <w:tcW w:w="2520" w:type="dxa"/>
            <w:tcBorders>
              <w:top w:val="single" w:sz="6" w:space="0" w:color="auto"/>
              <w:left w:val="single" w:sz="6" w:space="0" w:color="auto"/>
              <w:bottom w:val="single" w:sz="6" w:space="0" w:color="auto"/>
              <w:right w:val="single" w:sz="6" w:space="0" w:color="auto"/>
            </w:tcBorders>
          </w:tcPr>
          <w:p w14:paraId="14F33525" w14:textId="77777777" w:rsidR="007532DE" w:rsidRPr="007532DE" w:rsidRDefault="007532DE" w:rsidP="00335860">
            <w:pPr>
              <w:pStyle w:val="SpecTable"/>
              <w:rPr>
                <w:b/>
              </w:rPr>
            </w:pPr>
            <w:r w:rsidRPr="007532DE">
              <w:rPr>
                <w:b/>
              </w:rPr>
              <w:t>VALUE</w:t>
            </w:r>
          </w:p>
        </w:tc>
      </w:tr>
      <w:tr w:rsidR="007532DE" w14:paraId="41BB8CAD" w14:textId="77777777" w:rsidTr="000C6CF6">
        <w:trPr>
          <w:jc w:val="center"/>
        </w:trPr>
        <w:tc>
          <w:tcPr>
            <w:tcW w:w="2538" w:type="dxa"/>
            <w:tcBorders>
              <w:top w:val="single" w:sz="6" w:space="0" w:color="auto"/>
              <w:left w:val="single" w:sz="6" w:space="0" w:color="auto"/>
              <w:bottom w:val="single" w:sz="6" w:space="0" w:color="auto"/>
              <w:right w:val="single" w:sz="6" w:space="0" w:color="auto"/>
            </w:tcBorders>
          </w:tcPr>
          <w:p w14:paraId="350E2A08" w14:textId="77777777" w:rsidR="007532DE" w:rsidRDefault="007532DE" w:rsidP="00335860">
            <w:pPr>
              <w:pStyle w:val="SpecTable"/>
              <w:spacing w:before="0" w:after="0"/>
              <w:jc w:val="left"/>
            </w:pPr>
            <w:r>
              <w:t>Hardness</w:t>
            </w:r>
          </w:p>
        </w:tc>
        <w:tc>
          <w:tcPr>
            <w:tcW w:w="3150" w:type="dxa"/>
            <w:tcBorders>
              <w:top w:val="single" w:sz="6" w:space="0" w:color="auto"/>
              <w:left w:val="single" w:sz="6" w:space="0" w:color="auto"/>
              <w:bottom w:val="single" w:sz="6" w:space="0" w:color="auto"/>
              <w:right w:val="single" w:sz="6" w:space="0" w:color="auto"/>
            </w:tcBorders>
          </w:tcPr>
          <w:p w14:paraId="7B6F44A0" w14:textId="77777777" w:rsidR="007532DE" w:rsidRDefault="007532DE" w:rsidP="00335860">
            <w:pPr>
              <w:pStyle w:val="SpecTable"/>
              <w:spacing w:before="0" w:after="0"/>
              <w:jc w:val="left"/>
            </w:pPr>
            <w:r>
              <w:t>ASTM D2240</w:t>
            </w:r>
            <w:r>
              <w:br/>
              <w:t>Shore Durometer</w:t>
            </w:r>
          </w:p>
        </w:tc>
        <w:tc>
          <w:tcPr>
            <w:tcW w:w="2520" w:type="dxa"/>
            <w:tcBorders>
              <w:top w:val="single" w:sz="6" w:space="0" w:color="auto"/>
              <w:left w:val="single" w:sz="6" w:space="0" w:color="auto"/>
              <w:bottom w:val="single" w:sz="6" w:space="0" w:color="auto"/>
              <w:right w:val="single" w:sz="6" w:space="0" w:color="auto"/>
            </w:tcBorders>
          </w:tcPr>
          <w:p w14:paraId="76A8B884" w14:textId="77777777" w:rsidR="007532DE" w:rsidRDefault="007532DE" w:rsidP="00335860">
            <w:pPr>
              <w:pStyle w:val="SpecTable"/>
              <w:spacing w:before="0" w:after="0"/>
              <w:jc w:val="left"/>
            </w:pPr>
            <w:r>
              <w:t>75-80</w:t>
            </w:r>
          </w:p>
        </w:tc>
      </w:tr>
      <w:tr w:rsidR="007532DE" w14:paraId="68E3BB9E" w14:textId="77777777" w:rsidTr="000C6CF6">
        <w:trPr>
          <w:jc w:val="center"/>
        </w:trPr>
        <w:tc>
          <w:tcPr>
            <w:tcW w:w="2538" w:type="dxa"/>
            <w:tcBorders>
              <w:top w:val="single" w:sz="6" w:space="0" w:color="auto"/>
              <w:left w:val="single" w:sz="6" w:space="0" w:color="auto"/>
              <w:bottom w:val="single" w:sz="6" w:space="0" w:color="auto"/>
              <w:right w:val="single" w:sz="6" w:space="0" w:color="auto"/>
            </w:tcBorders>
          </w:tcPr>
          <w:p w14:paraId="531091E7" w14:textId="77777777" w:rsidR="007532DE" w:rsidRDefault="007532DE" w:rsidP="00335860">
            <w:pPr>
              <w:pStyle w:val="SpecTable"/>
              <w:spacing w:before="0" w:after="0"/>
              <w:jc w:val="left"/>
            </w:pPr>
            <w:r>
              <w:t>Bond</w:t>
            </w:r>
          </w:p>
        </w:tc>
        <w:tc>
          <w:tcPr>
            <w:tcW w:w="3150" w:type="dxa"/>
            <w:tcBorders>
              <w:top w:val="single" w:sz="6" w:space="0" w:color="auto"/>
              <w:left w:val="single" w:sz="6" w:space="0" w:color="auto"/>
              <w:bottom w:val="single" w:sz="6" w:space="0" w:color="auto"/>
              <w:right w:val="single" w:sz="6" w:space="0" w:color="auto"/>
            </w:tcBorders>
          </w:tcPr>
          <w:p w14:paraId="3DBA2894" w14:textId="77777777" w:rsidR="007532DE" w:rsidRDefault="007532DE" w:rsidP="00335860">
            <w:pPr>
              <w:pStyle w:val="SpecTable"/>
              <w:spacing w:before="0" w:after="0"/>
              <w:jc w:val="left"/>
            </w:pPr>
            <w:r>
              <w:t>ASTM C882</w:t>
            </w:r>
            <w:r>
              <w:br/>
              <w:t>Bonding epoxy flooring to hardened concrete</w:t>
            </w:r>
          </w:p>
        </w:tc>
        <w:tc>
          <w:tcPr>
            <w:tcW w:w="2520" w:type="dxa"/>
            <w:tcBorders>
              <w:top w:val="single" w:sz="6" w:space="0" w:color="auto"/>
              <w:left w:val="single" w:sz="6" w:space="0" w:color="auto"/>
              <w:bottom w:val="single" w:sz="6" w:space="0" w:color="auto"/>
              <w:right w:val="single" w:sz="6" w:space="0" w:color="auto"/>
            </w:tcBorders>
          </w:tcPr>
          <w:p w14:paraId="29B3918E" w14:textId="77777777" w:rsidR="007532DE" w:rsidRDefault="007532DE" w:rsidP="00335860">
            <w:pPr>
              <w:pStyle w:val="SpecTable"/>
              <w:spacing w:before="0" w:after="0"/>
              <w:jc w:val="left"/>
            </w:pPr>
            <w:r>
              <w:t>min 400 psi</w:t>
            </w:r>
          </w:p>
        </w:tc>
      </w:tr>
      <w:tr w:rsidR="007532DE" w14:paraId="26CA8712" w14:textId="77777777" w:rsidTr="000C6CF6">
        <w:trPr>
          <w:jc w:val="center"/>
        </w:trPr>
        <w:tc>
          <w:tcPr>
            <w:tcW w:w="2538" w:type="dxa"/>
            <w:tcBorders>
              <w:top w:val="single" w:sz="6" w:space="0" w:color="auto"/>
              <w:left w:val="single" w:sz="6" w:space="0" w:color="auto"/>
              <w:bottom w:val="single" w:sz="6" w:space="0" w:color="auto"/>
              <w:right w:val="single" w:sz="6" w:space="0" w:color="auto"/>
            </w:tcBorders>
          </w:tcPr>
          <w:p w14:paraId="03A17DBC" w14:textId="77777777" w:rsidR="007532DE" w:rsidRDefault="007532DE" w:rsidP="00335860">
            <w:pPr>
              <w:pStyle w:val="SpecTable"/>
              <w:spacing w:before="0" w:after="0"/>
              <w:jc w:val="left"/>
            </w:pPr>
            <w:r>
              <w:t>Water Absorption</w:t>
            </w:r>
          </w:p>
        </w:tc>
        <w:tc>
          <w:tcPr>
            <w:tcW w:w="3150" w:type="dxa"/>
            <w:tcBorders>
              <w:top w:val="single" w:sz="6" w:space="0" w:color="auto"/>
              <w:left w:val="single" w:sz="6" w:space="0" w:color="auto"/>
              <w:bottom w:val="single" w:sz="6" w:space="0" w:color="auto"/>
              <w:right w:val="single" w:sz="6" w:space="0" w:color="auto"/>
            </w:tcBorders>
          </w:tcPr>
          <w:p w14:paraId="656146E6" w14:textId="77777777" w:rsidR="007532DE" w:rsidRDefault="007532DE" w:rsidP="00335860">
            <w:pPr>
              <w:pStyle w:val="SpecTable"/>
              <w:spacing w:before="0" w:after="0"/>
              <w:jc w:val="left"/>
            </w:pPr>
            <w:r>
              <w:t>ASTM C413</w:t>
            </w:r>
          </w:p>
        </w:tc>
        <w:tc>
          <w:tcPr>
            <w:tcW w:w="2520" w:type="dxa"/>
            <w:tcBorders>
              <w:top w:val="single" w:sz="6" w:space="0" w:color="auto"/>
              <w:left w:val="single" w:sz="6" w:space="0" w:color="auto"/>
              <w:bottom w:val="single" w:sz="6" w:space="0" w:color="auto"/>
              <w:right w:val="single" w:sz="6" w:space="0" w:color="auto"/>
            </w:tcBorders>
          </w:tcPr>
          <w:p w14:paraId="5FE9C8D5" w14:textId="77777777" w:rsidR="007532DE" w:rsidRDefault="007532DE" w:rsidP="00335860">
            <w:pPr>
              <w:pStyle w:val="SpecTable"/>
              <w:spacing w:before="0" w:after="0"/>
              <w:jc w:val="left"/>
            </w:pPr>
            <w:r>
              <w:t>max 0.1 percent</w:t>
            </w:r>
          </w:p>
        </w:tc>
      </w:tr>
      <w:tr w:rsidR="007532DE" w14:paraId="2F4B3FCC" w14:textId="77777777" w:rsidTr="000C6CF6">
        <w:trPr>
          <w:jc w:val="center"/>
        </w:trPr>
        <w:tc>
          <w:tcPr>
            <w:tcW w:w="2538" w:type="dxa"/>
            <w:tcBorders>
              <w:top w:val="single" w:sz="6" w:space="0" w:color="auto"/>
              <w:left w:val="single" w:sz="6" w:space="0" w:color="auto"/>
              <w:bottom w:val="single" w:sz="6" w:space="0" w:color="auto"/>
              <w:right w:val="single" w:sz="6" w:space="0" w:color="auto"/>
            </w:tcBorders>
          </w:tcPr>
          <w:p w14:paraId="42AC8266" w14:textId="77777777" w:rsidR="007532DE" w:rsidRDefault="007532DE" w:rsidP="00335860">
            <w:pPr>
              <w:pStyle w:val="SpecTable"/>
              <w:spacing w:before="0" w:after="0"/>
              <w:jc w:val="left"/>
            </w:pPr>
            <w:r>
              <w:t>Abrasion Resistance</w:t>
            </w:r>
          </w:p>
        </w:tc>
        <w:tc>
          <w:tcPr>
            <w:tcW w:w="3150" w:type="dxa"/>
            <w:tcBorders>
              <w:top w:val="single" w:sz="6" w:space="0" w:color="auto"/>
              <w:left w:val="single" w:sz="6" w:space="0" w:color="auto"/>
              <w:bottom w:val="single" w:sz="6" w:space="0" w:color="auto"/>
              <w:right w:val="single" w:sz="6" w:space="0" w:color="auto"/>
            </w:tcBorders>
          </w:tcPr>
          <w:p w14:paraId="6F135A1E" w14:textId="77777777" w:rsidR="007532DE" w:rsidRDefault="007532DE" w:rsidP="00335860">
            <w:pPr>
              <w:pStyle w:val="SpecTable"/>
              <w:spacing w:before="0" w:after="0"/>
              <w:jc w:val="left"/>
            </w:pPr>
            <w:r>
              <w:t>ASTM D4060</w:t>
            </w:r>
            <w:r>
              <w:br/>
              <w:t>Taber Abrader CS-</w:t>
            </w:r>
            <w:proofErr w:type="gramStart"/>
            <w:r>
              <w:t>17 wheel</w:t>
            </w:r>
            <w:proofErr w:type="gramEnd"/>
            <w:r>
              <w:t>, 1000 gm load; 1000 cycle</w:t>
            </w:r>
          </w:p>
        </w:tc>
        <w:tc>
          <w:tcPr>
            <w:tcW w:w="2520" w:type="dxa"/>
            <w:tcBorders>
              <w:top w:val="single" w:sz="6" w:space="0" w:color="auto"/>
              <w:left w:val="single" w:sz="6" w:space="0" w:color="auto"/>
              <w:bottom w:val="single" w:sz="6" w:space="0" w:color="auto"/>
              <w:right w:val="single" w:sz="6" w:space="0" w:color="auto"/>
            </w:tcBorders>
          </w:tcPr>
          <w:p w14:paraId="547533A6" w14:textId="77777777" w:rsidR="007532DE" w:rsidRDefault="007532DE" w:rsidP="00335860">
            <w:pPr>
              <w:pStyle w:val="SpecTable"/>
              <w:spacing w:before="0" w:after="0"/>
              <w:jc w:val="left"/>
            </w:pPr>
            <w:r>
              <w:t xml:space="preserve">max 0.10 </w:t>
            </w:r>
            <w:proofErr w:type="spellStart"/>
            <w:r>
              <w:t>gms</w:t>
            </w:r>
            <w:proofErr w:type="spellEnd"/>
            <w:r>
              <w:t>.</w:t>
            </w:r>
            <w:r>
              <w:br/>
              <w:t>weight loss</w:t>
            </w:r>
          </w:p>
        </w:tc>
      </w:tr>
      <w:tr w:rsidR="007532DE" w14:paraId="3BCE1C22" w14:textId="77777777" w:rsidTr="000C6CF6">
        <w:trPr>
          <w:jc w:val="center"/>
        </w:trPr>
        <w:tc>
          <w:tcPr>
            <w:tcW w:w="2538" w:type="dxa"/>
            <w:tcBorders>
              <w:top w:val="single" w:sz="6" w:space="0" w:color="auto"/>
              <w:left w:val="single" w:sz="6" w:space="0" w:color="auto"/>
              <w:bottom w:val="single" w:sz="6" w:space="0" w:color="auto"/>
              <w:right w:val="single" w:sz="6" w:space="0" w:color="auto"/>
            </w:tcBorders>
          </w:tcPr>
          <w:p w14:paraId="74DB3C70" w14:textId="77777777" w:rsidR="007532DE" w:rsidRDefault="007532DE" w:rsidP="00335860">
            <w:pPr>
              <w:pStyle w:val="SpecTable"/>
              <w:spacing w:before="0" w:after="0"/>
              <w:jc w:val="left"/>
            </w:pPr>
            <w:r>
              <w:t>Flexural Strength</w:t>
            </w:r>
          </w:p>
        </w:tc>
        <w:tc>
          <w:tcPr>
            <w:tcW w:w="3150" w:type="dxa"/>
            <w:tcBorders>
              <w:top w:val="single" w:sz="6" w:space="0" w:color="auto"/>
              <w:left w:val="single" w:sz="6" w:space="0" w:color="auto"/>
              <w:bottom w:val="single" w:sz="6" w:space="0" w:color="auto"/>
              <w:right w:val="single" w:sz="6" w:space="0" w:color="auto"/>
            </w:tcBorders>
          </w:tcPr>
          <w:p w14:paraId="19AA91E5" w14:textId="77777777" w:rsidR="007532DE" w:rsidRDefault="007532DE" w:rsidP="00335860">
            <w:pPr>
              <w:pStyle w:val="SpecTable"/>
              <w:spacing w:before="0" w:after="0"/>
              <w:jc w:val="left"/>
            </w:pPr>
            <w:r>
              <w:t>ASTM C580</w:t>
            </w:r>
          </w:p>
        </w:tc>
        <w:tc>
          <w:tcPr>
            <w:tcW w:w="2520" w:type="dxa"/>
            <w:tcBorders>
              <w:top w:val="single" w:sz="6" w:space="0" w:color="auto"/>
              <w:left w:val="single" w:sz="6" w:space="0" w:color="auto"/>
              <w:bottom w:val="single" w:sz="6" w:space="0" w:color="auto"/>
              <w:right w:val="single" w:sz="6" w:space="0" w:color="auto"/>
            </w:tcBorders>
          </w:tcPr>
          <w:p w14:paraId="3FABC5C0" w14:textId="77777777" w:rsidR="007532DE" w:rsidRDefault="007532DE" w:rsidP="00335860">
            <w:pPr>
              <w:pStyle w:val="SpecTable"/>
              <w:spacing w:before="0" w:after="0"/>
              <w:jc w:val="left"/>
            </w:pPr>
            <w:r>
              <w:t>min 2200 psi</w:t>
            </w:r>
          </w:p>
        </w:tc>
      </w:tr>
      <w:tr w:rsidR="007532DE" w14:paraId="37FDA89F" w14:textId="77777777" w:rsidTr="000C6CF6">
        <w:trPr>
          <w:jc w:val="center"/>
        </w:trPr>
        <w:tc>
          <w:tcPr>
            <w:tcW w:w="2538" w:type="dxa"/>
            <w:tcBorders>
              <w:top w:val="single" w:sz="6" w:space="0" w:color="auto"/>
              <w:left w:val="single" w:sz="6" w:space="0" w:color="auto"/>
              <w:bottom w:val="nil"/>
              <w:right w:val="single" w:sz="6" w:space="0" w:color="auto"/>
            </w:tcBorders>
          </w:tcPr>
          <w:p w14:paraId="6D1A25D5" w14:textId="77777777" w:rsidR="007532DE" w:rsidRDefault="007532DE" w:rsidP="00335860">
            <w:pPr>
              <w:pStyle w:val="SpecTable"/>
              <w:spacing w:before="0" w:after="0"/>
              <w:jc w:val="left"/>
            </w:pPr>
            <w:r>
              <w:t>Extent of Burning extinguishing</w:t>
            </w:r>
            <w:r>
              <w:br/>
              <w:t>Heat Resistant</w:t>
            </w:r>
          </w:p>
          <w:p w14:paraId="1F2A4249" w14:textId="77777777" w:rsidR="007532DE" w:rsidRDefault="007532DE" w:rsidP="00335860">
            <w:pPr>
              <w:pStyle w:val="SpecTable"/>
              <w:spacing w:before="0" w:after="0"/>
              <w:jc w:val="left"/>
            </w:pPr>
          </w:p>
        </w:tc>
        <w:tc>
          <w:tcPr>
            <w:tcW w:w="3150" w:type="dxa"/>
            <w:tcBorders>
              <w:top w:val="single" w:sz="6" w:space="0" w:color="auto"/>
              <w:left w:val="single" w:sz="6" w:space="0" w:color="auto"/>
              <w:bottom w:val="nil"/>
              <w:right w:val="single" w:sz="6" w:space="0" w:color="auto"/>
            </w:tcBorders>
          </w:tcPr>
          <w:p w14:paraId="333D9F32" w14:textId="77777777" w:rsidR="007532DE" w:rsidRDefault="007532DE" w:rsidP="00335860">
            <w:pPr>
              <w:pStyle w:val="SpecTable"/>
              <w:spacing w:before="0" w:after="0"/>
              <w:jc w:val="left"/>
            </w:pPr>
            <w:r>
              <w:t>ASTM D635</w:t>
            </w:r>
          </w:p>
          <w:p w14:paraId="5E110F3D" w14:textId="77777777" w:rsidR="007532DE" w:rsidRDefault="007532DE" w:rsidP="00335860">
            <w:pPr>
              <w:pStyle w:val="SpecTable"/>
              <w:spacing w:before="0" w:after="0"/>
              <w:jc w:val="left"/>
            </w:pPr>
            <w:r>
              <w:t>For continuous exposure min 140 deg. F</w:t>
            </w:r>
          </w:p>
          <w:p w14:paraId="4F827B57" w14:textId="77777777" w:rsidR="007532DE" w:rsidRDefault="007532DE" w:rsidP="00335860">
            <w:pPr>
              <w:pStyle w:val="SpecTable"/>
              <w:spacing w:before="0" w:after="0"/>
              <w:jc w:val="left"/>
            </w:pPr>
            <w:r>
              <w:t>For intermittent spills</w:t>
            </w:r>
            <w:r>
              <w:br/>
              <w:t>min 200 deg. F</w:t>
            </w:r>
          </w:p>
        </w:tc>
        <w:tc>
          <w:tcPr>
            <w:tcW w:w="2520" w:type="dxa"/>
            <w:tcBorders>
              <w:top w:val="single" w:sz="6" w:space="0" w:color="auto"/>
              <w:left w:val="single" w:sz="6" w:space="0" w:color="auto"/>
              <w:bottom w:val="nil"/>
              <w:right w:val="single" w:sz="6" w:space="0" w:color="auto"/>
            </w:tcBorders>
          </w:tcPr>
          <w:p w14:paraId="5BC28CD3" w14:textId="41100CA4" w:rsidR="007532DE" w:rsidRDefault="007532DE" w:rsidP="00335860">
            <w:pPr>
              <w:pStyle w:val="SpecTable"/>
              <w:spacing w:before="0" w:after="0"/>
              <w:jc w:val="left"/>
            </w:pPr>
            <w:r>
              <w:t xml:space="preserve">max </w:t>
            </w:r>
            <w:r w:rsidR="00C76ABE">
              <w:t>0.25-inch</w:t>
            </w:r>
            <w:r>
              <w:t xml:space="preserve"> self</w:t>
            </w:r>
          </w:p>
          <w:p w14:paraId="51A15AC9" w14:textId="77777777" w:rsidR="007532DE" w:rsidRDefault="007532DE" w:rsidP="00335860">
            <w:pPr>
              <w:pStyle w:val="SpecTable"/>
              <w:spacing w:before="0" w:after="0"/>
              <w:jc w:val="left"/>
            </w:pPr>
            <w:r>
              <w:t>No Effect</w:t>
            </w:r>
            <w:r>
              <w:br/>
            </w:r>
          </w:p>
          <w:p w14:paraId="3624AC95" w14:textId="77777777" w:rsidR="007532DE" w:rsidRDefault="007532DE" w:rsidP="00335860">
            <w:pPr>
              <w:pStyle w:val="SpecTable"/>
              <w:spacing w:before="0" w:after="0"/>
              <w:jc w:val="left"/>
            </w:pPr>
            <w:r>
              <w:t>No Effect</w:t>
            </w:r>
          </w:p>
        </w:tc>
      </w:tr>
      <w:tr w:rsidR="007532DE" w14:paraId="697FB5AC" w14:textId="77777777" w:rsidTr="000C6CF6">
        <w:trPr>
          <w:jc w:val="center"/>
        </w:trPr>
        <w:tc>
          <w:tcPr>
            <w:tcW w:w="2538" w:type="dxa"/>
            <w:tcBorders>
              <w:top w:val="single" w:sz="6" w:space="0" w:color="auto"/>
              <w:left w:val="single" w:sz="6" w:space="0" w:color="auto"/>
              <w:bottom w:val="nil"/>
              <w:right w:val="single" w:sz="6" w:space="0" w:color="auto"/>
            </w:tcBorders>
          </w:tcPr>
          <w:p w14:paraId="193AA319" w14:textId="77777777" w:rsidR="007532DE" w:rsidRDefault="007532DE" w:rsidP="00335860">
            <w:pPr>
              <w:pStyle w:val="SpecTable"/>
              <w:spacing w:before="0" w:after="0"/>
              <w:jc w:val="left"/>
            </w:pPr>
            <w:r>
              <w:t>Coefficient of Friction</w:t>
            </w:r>
          </w:p>
        </w:tc>
        <w:tc>
          <w:tcPr>
            <w:tcW w:w="3150" w:type="dxa"/>
            <w:tcBorders>
              <w:top w:val="single" w:sz="6" w:space="0" w:color="auto"/>
              <w:left w:val="single" w:sz="6" w:space="0" w:color="auto"/>
              <w:bottom w:val="nil"/>
              <w:right w:val="single" w:sz="6" w:space="0" w:color="auto"/>
            </w:tcBorders>
          </w:tcPr>
          <w:p w14:paraId="798FA68F" w14:textId="77777777" w:rsidR="007532DE" w:rsidRDefault="007532DE" w:rsidP="00335860">
            <w:pPr>
              <w:pStyle w:val="SpecTable"/>
              <w:spacing w:before="0" w:after="0"/>
              <w:jc w:val="left"/>
            </w:pPr>
            <w:r>
              <w:t>ASTM D 2047</w:t>
            </w:r>
          </w:p>
        </w:tc>
        <w:tc>
          <w:tcPr>
            <w:tcW w:w="2520" w:type="dxa"/>
            <w:tcBorders>
              <w:top w:val="single" w:sz="6" w:space="0" w:color="auto"/>
              <w:left w:val="single" w:sz="6" w:space="0" w:color="auto"/>
              <w:bottom w:val="nil"/>
              <w:right w:val="single" w:sz="6" w:space="0" w:color="auto"/>
            </w:tcBorders>
          </w:tcPr>
          <w:p w14:paraId="16F5A9CC" w14:textId="77777777" w:rsidR="007532DE" w:rsidRDefault="007532DE" w:rsidP="00335860">
            <w:pPr>
              <w:pStyle w:val="SpecTable"/>
              <w:spacing w:before="0" w:after="0"/>
              <w:jc w:val="left"/>
            </w:pPr>
            <w:r>
              <w:t>0.7</w:t>
            </w:r>
          </w:p>
        </w:tc>
      </w:tr>
      <w:tr w:rsidR="007532DE" w14:paraId="21ED6FC6" w14:textId="77777777" w:rsidTr="000C6CF6">
        <w:trPr>
          <w:jc w:val="center"/>
        </w:trPr>
        <w:tc>
          <w:tcPr>
            <w:tcW w:w="2538" w:type="dxa"/>
            <w:tcBorders>
              <w:top w:val="single" w:sz="6" w:space="0" w:color="auto"/>
              <w:left w:val="single" w:sz="6" w:space="0" w:color="auto"/>
              <w:bottom w:val="nil"/>
              <w:right w:val="nil"/>
            </w:tcBorders>
          </w:tcPr>
          <w:p w14:paraId="63697B06" w14:textId="77777777" w:rsidR="007532DE" w:rsidRDefault="007532DE" w:rsidP="00335860">
            <w:pPr>
              <w:pStyle w:val="SpecTable"/>
              <w:spacing w:before="0" w:after="0"/>
              <w:jc w:val="left"/>
            </w:pPr>
            <w:r>
              <w:t>Chemical Resistance</w:t>
            </w:r>
            <w:r>
              <w:br/>
              <w:t>of the following:</w:t>
            </w:r>
          </w:p>
        </w:tc>
        <w:tc>
          <w:tcPr>
            <w:tcW w:w="3150" w:type="dxa"/>
            <w:tcBorders>
              <w:top w:val="single" w:sz="6" w:space="0" w:color="auto"/>
              <w:left w:val="nil"/>
              <w:bottom w:val="nil"/>
              <w:right w:val="nil"/>
            </w:tcBorders>
          </w:tcPr>
          <w:p w14:paraId="60A17277" w14:textId="77777777" w:rsidR="007532DE" w:rsidRDefault="007532DE" w:rsidP="00335860">
            <w:pPr>
              <w:pStyle w:val="SpecTable"/>
              <w:spacing w:before="0" w:after="0"/>
              <w:jc w:val="left"/>
            </w:pPr>
            <w:r>
              <w:t>ASTM C267</w:t>
            </w:r>
          </w:p>
        </w:tc>
        <w:tc>
          <w:tcPr>
            <w:tcW w:w="2520" w:type="dxa"/>
            <w:tcBorders>
              <w:top w:val="single" w:sz="6" w:space="0" w:color="auto"/>
              <w:left w:val="nil"/>
              <w:bottom w:val="nil"/>
              <w:right w:val="single" w:sz="6" w:space="0" w:color="auto"/>
            </w:tcBorders>
          </w:tcPr>
          <w:p w14:paraId="2CB11E8A" w14:textId="77777777" w:rsidR="007532DE" w:rsidRDefault="007532DE" w:rsidP="00335860">
            <w:pPr>
              <w:pStyle w:val="SpecTable"/>
              <w:spacing w:before="0" w:after="0"/>
              <w:jc w:val="left"/>
            </w:pPr>
            <w:r>
              <w:t>No Effect</w:t>
            </w:r>
          </w:p>
        </w:tc>
      </w:tr>
      <w:tr w:rsidR="007532DE" w14:paraId="0D1E76D8" w14:textId="77777777" w:rsidTr="000C6CF6">
        <w:trPr>
          <w:jc w:val="center"/>
        </w:trPr>
        <w:tc>
          <w:tcPr>
            <w:tcW w:w="2538" w:type="dxa"/>
            <w:tcBorders>
              <w:top w:val="nil"/>
              <w:left w:val="single" w:sz="6" w:space="0" w:color="auto"/>
              <w:bottom w:val="nil"/>
              <w:right w:val="nil"/>
            </w:tcBorders>
          </w:tcPr>
          <w:p w14:paraId="2CE5B807" w14:textId="77777777" w:rsidR="007532DE" w:rsidRDefault="007532DE" w:rsidP="00335860">
            <w:pPr>
              <w:pStyle w:val="SpecTable"/>
              <w:spacing w:before="0" w:after="0"/>
              <w:jc w:val="left"/>
            </w:pPr>
            <w:r>
              <w:t>Acetic acid</w:t>
            </w:r>
          </w:p>
        </w:tc>
        <w:tc>
          <w:tcPr>
            <w:tcW w:w="3150" w:type="dxa"/>
            <w:tcBorders>
              <w:top w:val="nil"/>
              <w:left w:val="nil"/>
              <w:bottom w:val="nil"/>
              <w:right w:val="nil"/>
            </w:tcBorders>
          </w:tcPr>
          <w:p w14:paraId="03D1A7C2" w14:textId="77777777" w:rsidR="007532DE" w:rsidRDefault="007532DE" w:rsidP="00335860">
            <w:pPr>
              <w:pStyle w:val="SpecTable"/>
              <w:spacing w:before="0" w:after="0"/>
              <w:jc w:val="left"/>
            </w:pPr>
            <w:r>
              <w:t>5 percent</w:t>
            </w:r>
          </w:p>
        </w:tc>
        <w:tc>
          <w:tcPr>
            <w:tcW w:w="2520" w:type="dxa"/>
            <w:tcBorders>
              <w:top w:val="nil"/>
              <w:left w:val="nil"/>
              <w:bottom w:val="nil"/>
              <w:right w:val="single" w:sz="6" w:space="0" w:color="auto"/>
            </w:tcBorders>
          </w:tcPr>
          <w:p w14:paraId="1D1D6E55" w14:textId="77777777" w:rsidR="007532DE" w:rsidRDefault="007532DE" w:rsidP="00335860">
            <w:pPr>
              <w:pStyle w:val="SpecTable"/>
              <w:spacing w:before="0" w:after="0"/>
              <w:jc w:val="left"/>
            </w:pPr>
          </w:p>
        </w:tc>
      </w:tr>
      <w:tr w:rsidR="007532DE" w14:paraId="446D912B" w14:textId="77777777" w:rsidTr="000C6CF6">
        <w:trPr>
          <w:jc w:val="center"/>
        </w:trPr>
        <w:tc>
          <w:tcPr>
            <w:tcW w:w="2538" w:type="dxa"/>
            <w:tcBorders>
              <w:top w:val="nil"/>
              <w:left w:val="single" w:sz="6" w:space="0" w:color="auto"/>
              <w:bottom w:val="nil"/>
              <w:right w:val="nil"/>
            </w:tcBorders>
          </w:tcPr>
          <w:p w14:paraId="64C1E647" w14:textId="77777777" w:rsidR="007532DE" w:rsidRDefault="007532DE" w:rsidP="00335860">
            <w:pPr>
              <w:pStyle w:val="SpecTable"/>
              <w:spacing w:before="0" w:after="0"/>
              <w:jc w:val="left"/>
            </w:pPr>
            <w:r>
              <w:lastRenderedPageBreak/>
              <w:t>Ammonium hydroxide</w:t>
            </w:r>
          </w:p>
        </w:tc>
        <w:tc>
          <w:tcPr>
            <w:tcW w:w="3150" w:type="dxa"/>
            <w:tcBorders>
              <w:top w:val="nil"/>
              <w:left w:val="nil"/>
              <w:bottom w:val="nil"/>
              <w:right w:val="nil"/>
            </w:tcBorders>
          </w:tcPr>
          <w:p w14:paraId="7DAC1944" w14:textId="77777777" w:rsidR="007532DE" w:rsidRDefault="007532DE" w:rsidP="00335860">
            <w:pPr>
              <w:pStyle w:val="SpecTable"/>
              <w:spacing w:before="0" w:after="0"/>
              <w:jc w:val="left"/>
            </w:pPr>
            <w:r>
              <w:t>10 percent</w:t>
            </w:r>
          </w:p>
        </w:tc>
        <w:tc>
          <w:tcPr>
            <w:tcW w:w="2520" w:type="dxa"/>
            <w:tcBorders>
              <w:top w:val="nil"/>
              <w:left w:val="nil"/>
              <w:bottom w:val="nil"/>
              <w:right w:val="single" w:sz="6" w:space="0" w:color="auto"/>
            </w:tcBorders>
          </w:tcPr>
          <w:p w14:paraId="4E523FFC" w14:textId="77777777" w:rsidR="007532DE" w:rsidRDefault="007532DE" w:rsidP="00335860">
            <w:pPr>
              <w:pStyle w:val="SpecTable"/>
              <w:spacing w:before="0" w:after="0"/>
              <w:jc w:val="left"/>
            </w:pPr>
          </w:p>
        </w:tc>
      </w:tr>
      <w:tr w:rsidR="007532DE" w14:paraId="7BC1914C" w14:textId="77777777" w:rsidTr="000C6CF6">
        <w:trPr>
          <w:jc w:val="center"/>
        </w:trPr>
        <w:tc>
          <w:tcPr>
            <w:tcW w:w="2538" w:type="dxa"/>
            <w:tcBorders>
              <w:top w:val="nil"/>
              <w:left w:val="single" w:sz="6" w:space="0" w:color="auto"/>
              <w:bottom w:val="nil"/>
              <w:right w:val="nil"/>
            </w:tcBorders>
          </w:tcPr>
          <w:p w14:paraId="3A670AAB" w14:textId="77777777" w:rsidR="007532DE" w:rsidRDefault="007532DE" w:rsidP="00335860">
            <w:pPr>
              <w:pStyle w:val="SpecTable"/>
              <w:jc w:val="left"/>
            </w:pPr>
            <w:r>
              <w:t>Citric Acid</w:t>
            </w:r>
            <w:r>
              <w:br/>
              <w:t>Fatty acid Motor Oil, 20W</w:t>
            </w:r>
            <w:r>
              <w:br/>
              <w:t>Hydrochloric acid</w:t>
            </w:r>
            <w:r>
              <w:br/>
              <w:t>Salt water</w:t>
            </w:r>
            <w:r>
              <w:br/>
              <w:t>Sodium Hydroxide</w:t>
            </w:r>
            <w:r>
              <w:br/>
              <w:t>Sulfuric acid</w:t>
            </w:r>
            <w:r>
              <w:br/>
              <w:t>Trisodium phosphate</w:t>
            </w:r>
          </w:p>
        </w:tc>
        <w:tc>
          <w:tcPr>
            <w:tcW w:w="3150" w:type="dxa"/>
            <w:tcBorders>
              <w:top w:val="nil"/>
              <w:left w:val="nil"/>
              <w:bottom w:val="nil"/>
              <w:right w:val="nil"/>
            </w:tcBorders>
          </w:tcPr>
          <w:p w14:paraId="1E11191E" w14:textId="77777777" w:rsidR="007532DE" w:rsidRDefault="007532DE" w:rsidP="00335860">
            <w:pPr>
              <w:pStyle w:val="SpecTable"/>
              <w:jc w:val="left"/>
              <w:rPr>
                <w:sz w:val="10"/>
              </w:rPr>
            </w:pPr>
            <w:r>
              <w:t>50 percent</w:t>
            </w:r>
            <w:r>
              <w:br/>
            </w:r>
            <w:r>
              <w:br/>
            </w:r>
          </w:p>
          <w:p w14:paraId="10FD42F5" w14:textId="77777777" w:rsidR="007532DE" w:rsidRDefault="007532DE" w:rsidP="00335860">
            <w:pPr>
              <w:pStyle w:val="SpecTable"/>
              <w:jc w:val="left"/>
            </w:pPr>
            <w:r>
              <w:t>10 percent</w:t>
            </w:r>
          </w:p>
          <w:p w14:paraId="5EFE672D" w14:textId="77777777" w:rsidR="007532DE" w:rsidRDefault="007532DE" w:rsidP="00335860">
            <w:pPr>
              <w:pStyle w:val="SpecTable"/>
              <w:jc w:val="left"/>
            </w:pPr>
            <w:r>
              <w:t>10 percent</w:t>
            </w:r>
          </w:p>
          <w:p w14:paraId="60C90FB3" w14:textId="77777777" w:rsidR="007532DE" w:rsidRDefault="007532DE" w:rsidP="00335860">
            <w:pPr>
              <w:pStyle w:val="SpecTable"/>
              <w:jc w:val="left"/>
            </w:pPr>
            <w:r>
              <w:t>10 percent</w:t>
            </w:r>
            <w:r>
              <w:br/>
              <w:t>5 percent</w:t>
            </w:r>
          </w:p>
        </w:tc>
        <w:tc>
          <w:tcPr>
            <w:tcW w:w="2520" w:type="dxa"/>
            <w:tcBorders>
              <w:top w:val="nil"/>
              <w:left w:val="nil"/>
              <w:bottom w:val="nil"/>
              <w:right w:val="single" w:sz="6" w:space="0" w:color="auto"/>
            </w:tcBorders>
          </w:tcPr>
          <w:p w14:paraId="1C6C2484" w14:textId="77777777" w:rsidR="007532DE" w:rsidRDefault="007532DE" w:rsidP="00335860">
            <w:pPr>
              <w:pStyle w:val="SpecTable"/>
              <w:jc w:val="left"/>
            </w:pPr>
          </w:p>
        </w:tc>
      </w:tr>
      <w:tr w:rsidR="007532DE" w14:paraId="12CB1B9F" w14:textId="77777777" w:rsidTr="000C6CF6">
        <w:trPr>
          <w:jc w:val="center"/>
        </w:trPr>
        <w:tc>
          <w:tcPr>
            <w:tcW w:w="2538" w:type="dxa"/>
            <w:tcBorders>
              <w:top w:val="nil"/>
              <w:left w:val="single" w:sz="6" w:space="0" w:color="auto"/>
              <w:bottom w:val="nil"/>
              <w:right w:val="nil"/>
            </w:tcBorders>
          </w:tcPr>
          <w:p w14:paraId="4BF01D66" w14:textId="77777777" w:rsidR="007532DE" w:rsidRDefault="007532DE" w:rsidP="00335860">
            <w:pPr>
              <w:pStyle w:val="SpecTable"/>
              <w:spacing w:before="0" w:after="0"/>
              <w:jc w:val="left"/>
            </w:pPr>
            <w:r>
              <w:t>Urine</w:t>
            </w:r>
          </w:p>
        </w:tc>
        <w:tc>
          <w:tcPr>
            <w:tcW w:w="3150" w:type="dxa"/>
            <w:tcBorders>
              <w:top w:val="nil"/>
              <w:left w:val="nil"/>
              <w:bottom w:val="nil"/>
              <w:right w:val="nil"/>
            </w:tcBorders>
          </w:tcPr>
          <w:p w14:paraId="55A4B795" w14:textId="77777777" w:rsidR="007532DE" w:rsidRDefault="007532DE" w:rsidP="00335860">
            <w:pPr>
              <w:pStyle w:val="SpecTable"/>
              <w:spacing w:before="0" w:after="0"/>
              <w:jc w:val="left"/>
            </w:pPr>
          </w:p>
        </w:tc>
        <w:tc>
          <w:tcPr>
            <w:tcW w:w="2520" w:type="dxa"/>
            <w:tcBorders>
              <w:top w:val="nil"/>
              <w:left w:val="nil"/>
              <w:bottom w:val="nil"/>
              <w:right w:val="single" w:sz="6" w:space="0" w:color="auto"/>
            </w:tcBorders>
          </w:tcPr>
          <w:p w14:paraId="2B23ADB1" w14:textId="77777777" w:rsidR="007532DE" w:rsidRDefault="007532DE" w:rsidP="00335860">
            <w:pPr>
              <w:pStyle w:val="SpecTable"/>
              <w:spacing w:before="0" w:after="0"/>
              <w:jc w:val="left"/>
            </w:pPr>
          </w:p>
        </w:tc>
      </w:tr>
      <w:tr w:rsidR="007532DE" w14:paraId="1F2FF9B5" w14:textId="77777777" w:rsidTr="000C6CF6">
        <w:trPr>
          <w:jc w:val="center"/>
        </w:trPr>
        <w:tc>
          <w:tcPr>
            <w:tcW w:w="2538" w:type="dxa"/>
            <w:tcBorders>
              <w:top w:val="nil"/>
              <w:left w:val="single" w:sz="6" w:space="0" w:color="auto"/>
              <w:bottom w:val="nil"/>
              <w:right w:val="nil"/>
            </w:tcBorders>
          </w:tcPr>
          <w:p w14:paraId="14EF5EB5" w14:textId="77777777" w:rsidR="007532DE" w:rsidRDefault="007532DE" w:rsidP="00335860">
            <w:pPr>
              <w:pStyle w:val="SpecTable"/>
              <w:spacing w:before="0" w:after="0"/>
              <w:jc w:val="left"/>
            </w:pPr>
            <w:r>
              <w:t>Feces</w:t>
            </w:r>
          </w:p>
        </w:tc>
        <w:tc>
          <w:tcPr>
            <w:tcW w:w="3150" w:type="dxa"/>
            <w:tcBorders>
              <w:top w:val="nil"/>
              <w:left w:val="nil"/>
              <w:bottom w:val="nil"/>
              <w:right w:val="nil"/>
            </w:tcBorders>
          </w:tcPr>
          <w:p w14:paraId="3E110538" w14:textId="77777777" w:rsidR="007532DE" w:rsidRDefault="007532DE" w:rsidP="00335860">
            <w:pPr>
              <w:pStyle w:val="SpecTable"/>
              <w:spacing w:before="0" w:after="0"/>
              <w:jc w:val="left"/>
            </w:pPr>
          </w:p>
        </w:tc>
        <w:tc>
          <w:tcPr>
            <w:tcW w:w="2520" w:type="dxa"/>
            <w:tcBorders>
              <w:top w:val="nil"/>
              <w:left w:val="nil"/>
              <w:bottom w:val="nil"/>
              <w:right w:val="single" w:sz="6" w:space="0" w:color="auto"/>
            </w:tcBorders>
          </w:tcPr>
          <w:p w14:paraId="2E02096A" w14:textId="77777777" w:rsidR="007532DE" w:rsidRDefault="007532DE" w:rsidP="00335860">
            <w:pPr>
              <w:pStyle w:val="SpecTable"/>
              <w:spacing w:before="0" w:after="0"/>
              <w:jc w:val="left"/>
            </w:pPr>
          </w:p>
        </w:tc>
      </w:tr>
      <w:tr w:rsidR="007532DE" w14:paraId="729A67B8" w14:textId="77777777" w:rsidTr="000C6CF6">
        <w:trPr>
          <w:jc w:val="center"/>
        </w:trPr>
        <w:tc>
          <w:tcPr>
            <w:tcW w:w="2538" w:type="dxa"/>
            <w:tcBorders>
              <w:top w:val="nil"/>
              <w:left w:val="single" w:sz="6" w:space="0" w:color="auto"/>
              <w:bottom w:val="nil"/>
              <w:right w:val="nil"/>
            </w:tcBorders>
          </w:tcPr>
          <w:p w14:paraId="0E8B5233" w14:textId="77777777" w:rsidR="007532DE" w:rsidRDefault="007532DE" w:rsidP="00335860">
            <w:pPr>
              <w:pStyle w:val="SpecTable"/>
              <w:spacing w:before="0" w:after="0"/>
              <w:jc w:val="left"/>
            </w:pPr>
            <w:r>
              <w:t>Hydrogen peroxide</w:t>
            </w:r>
          </w:p>
        </w:tc>
        <w:tc>
          <w:tcPr>
            <w:tcW w:w="3150" w:type="dxa"/>
            <w:tcBorders>
              <w:top w:val="nil"/>
              <w:left w:val="nil"/>
              <w:bottom w:val="nil"/>
              <w:right w:val="nil"/>
            </w:tcBorders>
          </w:tcPr>
          <w:p w14:paraId="11DD1FE9" w14:textId="77777777" w:rsidR="007532DE" w:rsidRDefault="007532DE" w:rsidP="00335860">
            <w:pPr>
              <w:pStyle w:val="SpecTable"/>
              <w:spacing w:before="0" w:after="0"/>
              <w:jc w:val="left"/>
            </w:pPr>
            <w:r>
              <w:t>28 percent</w:t>
            </w:r>
          </w:p>
        </w:tc>
        <w:tc>
          <w:tcPr>
            <w:tcW w:w="2520" w:type="dxa"/>
            <w:tcBorders>
              <w:top w:val="nil"/>
              <w:left w:val="nil"/>
              <w:bottom w:val="nil"/>
              <w:right w:val="single" w:sz="6" w:space="0" w:color="auto"/>
            </w:tcBorders>
          </w:tcPr>
          <w:p w14:paraId="6B1DD5A7" w14:textId="77777777" w:rsidR="007532DE" w:rsidRDefault="007532DE" w:rsidP="00335860">
            <w:pPr>
              <w:pStyle w:val="SpecTable"/>
              <w:spacing w:before="0" w:after="0"/>
              <w:jc w:val="left"/>
            </w:pPr>
          </w:p>
        </w:tc>
      </w:tr>
      <w:tr w:rsidR="007532DE" w14:paraId="07DEE01E" w14:textId="77777777" w:rsidTr="000C6CF6">
        <w:trPr>
          <w:jc w:val="center"/>
        </w:trPr>
        <w:tc>
          <w:tcPr>
            <w:tcW w:w="2538" w:type="dxa"/>
            <w:tcBorders>
              <w:top w:val="nil"/>
              <w:left w:val="single" w:sz="6" w:space="0" w:color="auto"/>
              <w:bottom w:val="nil"/>
              <w:right w:val="nil"/>
            </w:tcBorders>
          </w:tcPr>
          <w:p w14:paraId="2889E805" w14:textId="77777777" w:rsidR="007532DE" w:rsidRDefault="007532DE" w:rsidP="00335860">
            <w:pPr>
              <w:pStyle w:val="SpecTable"/>
              <w:spacing w:before="0" w:after="0"/>
              <w:jc w:val="left"/>
            </w:pPr>
            <w:r>
              <w:t>Distilled Water</w:t>
            </w:r>
          </w:p>
        </w:tc>
        <w:tc>
          <w:tcPr>
            <w:tcW w:w="3150" w:type="dxa"/>
            <w:tcBorders>
              <w:top w:val="nil"/>
              <w:left w:val="nil"/>
              <w:bottom w:val="nil"/>
              <w:right w:val="nil"/>
            </w:tcBorders>
          </w:tcPr>
          <w:p w14:paraId="4D96CA21" w14:textId="77777777" w:rsidR="007532DE" w:rsidRDefault="007532DE" w:rsidP="00335860">
            <w:pPr>
              <w:pStyle w:val="SpecTable"/>
              <w:spacing w:before="0" w:after="0"/>
              <w:jc w:val="left"/>
            </w:pPr>
          </w:p>
        </w:tc>
        <w:tc>
          <w:tcPr>
            <w:tcW w:w="2520" w:type="dxa"/>
            <w:tcBorders>
              <w:top w:val="nil"/>
              <w:left w:val="nil"/>
              <w:bottom w:val="nil"/>
              <w:right w:val="single" w:sz="6" w:space="0" w:color="auto"/>
            </w:tcBorders>
          </w:tcPr>
          <w:p w14:paraId="2CD52450" w14:textId="77777777" w:rsidR="007532DE" w:rsidRDefault="007532DE" w:rsidP="00335860">
            <w:pPr>
              <w:pStyle w:val="SpecTable"/>
              <w:spacing w:before="0" w:after="0"/>
              <w:jc w:val="left"/>
            </w:pPr>
          </w:p>
        </w:tc>
      </w:tr>
      <w:tr w:rsidR="007532DE" w14:paraId="7BBBE126" w14:textId="77777777" w:rsidTr="000C6CF6">
        <w:trPr>
          <w:jc w:val="center"/>
        </w:trPr>
        <w:tc>
          <w:tcPr>
            <w:tcW w:w="2538" w:type="dxa"/>
            <w:tcBorders>
              <w:top w:val="nil"/>
              <w:left w:val="single" w:sz="6" w:space="0" w:color="auto"/>
              <w:bottom w:val="single" w:sz="6" w:space="0" w:color="auto"/>
              <w:right w:val="nil"/>
            </w:tcBorders>
          </w:tcPr>
          <w:p w14:paraId="0C488437" w14:textId="77777777" w:rsidR="007532DE" w:rsidRDefault="007532DE" w:rsidP="00335860">
            <w:pPr>
              <w:pStyle w:val="SpecTable"/>
              <w:spacing w:before="0" w:after="0"/>
              <w:jc w:val="left"/>
            </w:pPr>
            <w:r>
              <w:t xml:space="preserve">Sodium </w:t>
            </w:r>
            <w:proofErr w:type="spellStart"/>
            <w:r>
              <w:t>Hypochloride</w:t>
            </w:r>
            <w:proofErr w:type="spellEnd"/>
          </w:p>
        </w:tc>
        <w:tc>
          <w:tcPr>
            <w:tcW w:w="3150" w:type="dxa"/>
            <w:tcBorders>
              <w:top w:val="nil"/>
              <w:left w:val="nil"/>
              <w:bottom w:val="single" w:sz="6" w:space="0" w:color="auto"/>
              <w:right w:val="nil"/>
            </w:tcBorders>
          </w:tcPr>
          <w:p w14:paraId="5504F6FD" w14:textId="77777777" w:rsidR="007532DE" w:rsidRDefault="007532DE" w:rsidP="00335860">
            <w:pPr>
              <w:pStyle w:val="SpecTable"/>
              <w:spacing w:before="0" w:after="0"/>
              <w:jc w:val="left"/>
            </w:pPr>
            <w:r>
              <w:t>5.28 percent</w:t>
            </w:r>
          </w:p>
        </w:tc>
        <w:tc>
          <w:tcPr>
            <w:tcW w:w="2520" w:type="dxa"/>
            <w:tcBorders>
              <w:top w:val="nil"/>
              <w:left w:val="nil"/>
              <w:bottom w:val="single" w:sz="6" w:space="0" w:color="auto"/>
              <w:right w:val="single" w:sz="6" w:space="0" w:color="auto"/>
            </w:tcBorders>
          </w:tcPr>
          <w:p w14:paraId="3A842CEA" w14:textId="77777777" w:rsidR="007532DE" w:rsidRDefault="007532DE" w:rsidP="00335860">
            <w:pPr>
              <w:pStyle w:val="SpecTable"/>
              <w:spacing w:before="0" w:after="0"/>
              <w:jc w:val="left"/>
            </w:pPr>
          </w:p>
        </w:tc>
      </w:tr>
    </w:tbl>
    <w:p w14:paraId="71B96E54" w14:textId="77777777" w:rsidR="007532DE" w:rsidRDefault="007532DE" w:rsidP="00335860">
      <w:pPr>
        <w:pStyle w:val="SpecNormal"/>
      </w:pPr>
    </w:p>
    <w:p w14:paraId="71CA92B6" w14:textId="77777777" w:rsidR="007532DE" w:rsidRDefault="007532DE" w:rsidP="00335860">
      <w:pPr>
        <w:pStyle w:val="Level1"/>
      </w:pPr>
      <w:r>
        <w:t>C.</w:t>
      </w:r>
      <w:r>
        <w:tab/>
        <w:t>Primer, Coloring, Sealer, and Finish coats as standard with manufacture of flooring system.</w:t>
      </w:r>
    </w:p>
    <w:p w14:paraId="036B3640" w14:textId="77777777" w:rsidR="007532DE" w:rsidRDefault="007532DE" w:rsidP="00335860">
      <w:pPr>
        <w:pStyle w:val="Level1"/>
      </w:pPr>
      <w:r>
        <w:t>D.</w:t>
      </w:r>
      <w:r>
        <w:tab/>
        <w:t xml:space="preserve">Base Cap: Extruded aluminum, clear anodized finish unless specified otherwise in </w:t>
      </w:r>
      <w:r w:rsidRPr="001B774F">
        <w:t>Section 09 06 00,</w:t>
      </w:r>
      <w:r>
        <w:t xml:space="preserve"> </w:t>
      </w:r>
      <w:r w:rsidRPr="001B774F">
        <w:t>SCHEDULE FOR FINISHES</w:t>
      </w:r>
      <w:r>
        <w:t>.</w:t>
      </w:r>
    </w:p>
    <w:p w14:paraId="430CD88B" w14:textId="77777777" w:rsidR="007532DE" w:rsidRDefault="007532DE" w:rsidP="00335860">
      <w:pPr>
        <w:pStyle w:val="ArticleB"/>
        <w:keepNext w:val="0"/>
        <w:keepLines w:val="0"/>
      </w:pPr>
      <w:r>
        <w:t>2.3 BASE CAP STRIP</w:t>
      </w:r>
    </w:p>
    <w:p w14:paraId="5EDC152D" w14:textId="77777777" w:rsidR="007532DE" w:rsidRDefault="007532DE" w:rsidP="00335860">
      <w:pPr>
        <w:pStyle w:val="Level1"/>
      </w:pPr>
      <w:r>
        <w:t>A.</w:t>
      </w:r>
      <w:r>
        <w:tab/>
        <w:t>Aluminum, Extruded: ASTM B221, Alloy 6063-T6.</w:t>
      </w:r>
    </w:p>
    <w:p w14:paraId="3C254088" w14:textId="77777777" w:rsidR="007532DE" w:rsidRDefault="007532DE" w:rsidP="00335860">
      <w:pPr>
        <w:pStyle w:val="Level1"/>
      </w:pPr>
      <w:r>
        <w:t>B.</w:t>
      </w:r>
      <w:r>
        <w:tab/>
        <w:t>Shape for 5 mm (3/16 inch) depth of base material, "J" configuration.</w:t>
      </w:r>
    </w:p>
    <w:p w14:paraId="7C296B6F" w14:textId="77777777" w:rsidR="007532DE" w:rsidRDefault="007532DE" w:rsidP="00335860">
      <w:pPr>
        <w:pStyle w:val="Level1"/>
      </w:pPr>
      <w:r>
        <w:t>C.</w:t>
      </w:r>
      <w:r>
        <w:tab/>
        <w:t>Finish:</w:t>
      </w:r>
    </w:p>
    <w:p w14:paraId="5C0B6CD8" w14:textId="77777777" w:rsidR="007532DE" w:rsidRDefault="007532DE" w:rsidP="00335860">
      <w:pPr>
        <w:pStyle w:val="Level2"/>
      </w:pPr>
      <w:r>
        <w:t>1.</w:t>
      </w:r>
      <w:r>
        <w:tab/>
        <w:t>Finish exposed surfaces in accordance with NAAMM Metal Finishes Manual.</w:t>
      </w:r>
    </w:p>
    <w:p w14:paraId="3D5B8D7C" w14:textId="77777777" w:rsidR="007532DE" w:rsidRDefault="007532DE" w:rsidP="00335860">
      <w:pPr>
        <w:pStyle w:val="Level2"/>
      </w:pPr>
      <w:r>
        <w:t>2.</w:t>
      </w:r>
      <w:r>
        <w:tab/>
        <w:t>Aluminum:  NAAMM Amp 501:</w:t>
      </w:r>
    </w:p>
    <w:p w14:paraId="7C4FA0EA" w14:textId="77777777" w:rsidR="007532DE" w:rsidRDefault="007532DE" w:rsidP="00335860">
      <w:pPr>
        <w:pStyle w:val="Level3"/>
      </w:pPr>
      <w:r>
        <w:t>a.</w:t>
      </w:r>
      <w:r>
        <w:tab/>
        <w:t>Clear anodic coating, AA-C22A41 chemically etched medium matte, with Architectural Class 1, 0.7 mils or thicker.</w:t>
      </w:r>
    </w:p>
    <w:p w14:paraId="15DD2D2B" w14:textId="77777777" w:rsidR="007532DE" w:rsidRDefault="007532DE" w:rsidP="007532DE">
      <w:pPr>
        <w:pStyle w:val="Level3"/>
      </w:pPr>
      <w:r>
        <w:t>b.</w:t>
      </w:r>
      <w:r>
        <w:tab/>
        <w:t>Colored anodic coating, AA-C22A42, chemically etched medium matte with Architectural Class 1, 0.7 mils or thicker.</w:t>
      </w:r>
    </w:p>
    <w:p w14:paraId="611A7D59" w14:textId="77777777" w:rsidR="007532DE" w:rsidRDefault="007532DE" w:rsidP="007532DE">
      <w:pPr>
        <w:pStyle w:val="ArticleB"/>
      </w:pPr>
      <w:r>
        <w:t>PART 3 - EXECUTION</w:t>
      </w:r>
    </w:p>
    <w:p w14:paraId="5047980C" w14:textId="77777777" w:rsidR="007532DE" w:rsidRDefault="007532DE" w:rsidP="007532DE">
      <w:pPr>
        <w:pStyle w:val="ArticleB"/>
      </w:pPr>
      <w:r>
        <w:t>3.1 PROJECT CONDITIONS</w:t>
      </w:r>
    </w:p>
    <w:p w14:paraId="65A0E098" w14:textId="77777777" w:rsidR="007532DE" w:rsidRDefault="007532DE" w:rsidP="007532DE">
      <w:pPr>
        <w:pStyle w:val="Level1"/>
      </w:pPr>
      <w:r>
        <w:t>A.</w:t>
      </w:r>
      <w:r>
        <w:tab/>
        <w:t>Maintain temperature of materials above 21</w:t>
      </w:r>
      <w:r>
        <w:rPr>
          <w:vertAlign w:val="superscript"/>
        </w:rPr>
        <w:t>o</w:t>
      </w:r>
      <w:r>
        <w:t>C (70 degrees F), for 48 hours before installation.</w:t>
      </w:r>
    </w:p>
    <w:p w14:paraId="67D5180F" w14:textId="77777777" w:rsidR="007532DE" w:rsidRDefault="007532DE" w:rsidP="007532DE">
      <w:pPr>
        <w:pStyle w:val="Level1"/>
      </w:pPr>
      <w:r>
        <w:t>B.</w:t>
      </w:r>
      <w:r>
        <w:tab/>
        <w:t>Maintain temperature of rooms where work occurs, between 21</w:t>
      </w:r>
      <w:r>
        <w:rPr>
          <w:vertAlign w:val="superscript"/>
        </w:rPr>
        <w:t>o</w:t>
      </w:r>
      <w:r>
        <w:t>C and 32</w:t>
      </w:r>
      <w:r>
        <w:rPr>
          <w:vertAlign w:val="superscript"/>
        </w:rPr>
        <w:t>o</w:t>
      </w:r>
      <w:r>
        <w:t>C (70</w:t>
      </w:r>
      <w:r>
        <w:rPr>
          <w:vertAlign w:val="superscript"/>
        </w:rPr>
        <w:t>o</w:t>
      </w:r>
      <w:r>
        <w:t>F and 90</w:t>
      </w:r>
      <w:r>
        <w:rPr>
          <w:vertAlign w:val="superscript"/>
        </w:rPr>
        <w:t>o</w:t>
      </w:r>
      <w:r>
        <w:t>F) for at least 48 hours, before, during, and 24 hours after installation.  Maintain temperature at least 21</w:t>
      </w:r>
      <w:r>
        <w:rPr>
          <w:vertAlign w:val="superscript"/>
        </w:rPr>
        <w:t>o</w:t>
      </w:r>
      <w:r>
        <w:t>C (70 degrees F) thereafter.</w:t>
      </w:r>
    </w:p>
    <w:p w14:paraId="7508E66A" w14:textId="77777777" w:rsidR="007532DE" w:rsidRDefault="007532DE" w:rsidP="007532DE">
      <w:pPr>
        <w:pStyle w:val="Level1"/>
      </w:pPr>
      <w:r>
        <w:t>C.</w:t>
      </w:r>
      <w:r>
        <w:tab/>
        <w:t>Do not install materials until building is permanently enclosed and wet construction is complete, dry, and cured.</w:t>
      </w:r>
    </w:p>
    <w:p w14:paraId="717C7115" w14:textId="77777777" w:rsidR="007532DE" w:rsidRDefault="007532DE" w:rsidP="007532DE">
      <w:pPr>
        <w:pStyle w:val="Level1"/>
      </w:pPr>
      <w:r>
        <w:t>D.</w:t>
      </w:r>
      <w:r>
        <w:tab/>
        <w:t>Concrete substrate cured and not less than 30 days old.</w:t>
      </w:r>
    </w:p>
    <w:p w14:paraId="4E0B2724" w14:textId="77777777" w:rsidR="007532DE" w:rsidRDefault="007532DE" w:rsidP="007532DE">
      <w:pPr>
        <w:pStyle w:val="Level1"/>
      </w:pPr>
      <w:r>
        <w:lastRenderedPageBreak/>
        <w:t>E.</w:t>
      </w:r>
      <w:r>
        <w:tab/>
        <w:t>Area free of other trades during and for a period of 24 hours after installation.</w:t>
      </w:r>
    </w:p>
    <w:p w14:paraId="1CE97B4E" w14:textId="77777777" w:rsidR="007532DE" w:rsidRDefault="007532DE" w:rsidP="007532DE">
      <w:pPr>
        <w:pStyle w:val="ArticleB"/>
      </w:pPr>
      <w:r>
        <w:t>3.2 INSTALLATION REQUIREMENTS</w:t>
      </w:r>
    </w:p>
    <w:p w14:paraId="442C100A" w14:textId="77777777" w:rsidR="007532DE" w:rsidRDefault="007532DE" w:rsidP="007532DE">
      <w:pPr>
        <w:pStyle w:val="Level1"/>
      </w:pPr>
      <w:r>
        <w:t>A.</w:t>
      </w:r>
      <w:r>
        <w:tab/>
        <w:t>The respective manufacturer's instructions for application and installation will be considered for use when approved by the RE/COR.</w:t>
      </w:r>
    </w:p>
    <w:p w14:paraId="69702C04" w14:textId="77777777" w:rsidR="007532DE" w:rsidRDefault="007532DE" w:rsidP="007532DE">
      <w:pPr>
        <w:pStyle w:val="Level1"/>
      </w:pPr>
      <w:r>
        <w:t>B.</w:t>
      </w:r>
      <w:r>
        <w:tab/>
        <w:t>Submit proposed installation deviation from this specification to the RE/COR indicating the differences in the method of installation.</w:t>
      </w:r>
    </w:p>
    <w:p w14:paraId="0F55943C" w14:textId="77777777" w:rsidR="007532DE" w:rsidRDefault="007532DE" w:rsidP="007532DE">
      <w:pPr>
        <w:pStyle w:val="ArticleB"/>
      </w:pPr>
      <w:r>
        <w:t>3.3 PREPARATION</w:t>
      </w:r>
    </w:p>
    <w:p w14:paraId="61248229" w14:textId="77777777" w:rsidR="007532DE" w:rsidRDefault="007532DE" w:rsidP="007532DE">
      <w:pPr>
        <w:pStyle w:val="Level1"/>
      </w:pPr>
      <w:r>
        <w:t>A.</w:t>
      </w:r>
      <w:r>
        <w:tab/>
        <w:t>Prepare surface in accordance with manufacturer's instructions.</w:t>
      </w:r>
    </w:p>
    <w:p w14:paraId="50A239DB" w14:textId="77777777" w:rsidR="007532DE" w:rsidRDefault="007532DE" w:rsidP="007532DE">
      <w:pPr>
        <w:pStyle w:val="Level1"/>
      </w:pPr>
      <w:r>
        <w:t>B.</w:t>
      </w:r>
      <w:r>
        <w:tab/>
        <w:t>Mechanically remove bond inhibiting materials and loose or laitance materials to ensure bond.</w:t>
      </w:r>
    </w:p>
    <w:p w14:paraId="7A927407" w14:textId="77777777" w:rsidR="007532DE" w:rsidRDefault="007532DE" w:rsidP="007532DE">
      <w:pPr>
        <w:pStyle w:val="Level1"/>
      </w:pPr>
      <w:r>
        <w:t>C.</w:t>
      </w:r>
      <w:r>
        <w:tab/>
        <w:t>Moisture Testing: Perform moisture and pH test as recommended by the flooring and adhesive manufacturers. Perform test locations starting on the deepest part of the concrete structure. Proceed with installation only after concrete substrates meet or exceed the manufacturer’s requirements. In the absence of specific guidance from the flooring or adhesive manufacturer the following requirements are to be met:</w:t>
      </w:r>
    </w:p>
    <w:p w14:paraId="5F7A18D7" w14:textId="77777777" w:rsidR="007532DE" w:rsidRDefault="007532DE" w:rsidP="007532DE">
      <w:pPr>
        <w:pStyle w:val="Level2"/>
      </w:pPr>
      <w:r>
        <w:t>1.</w:t>
      </w:r>
      <w:r>
        <w:tab/>
        <w:t>Perform moisture vapor emission tests in accordance with ASTM F1869. Proceed with installation only after substrates have a maximum moisture-vapor-emission rate of 1.36 kg of water/92.9 sq. m (3lb of water/1000 sq. ft.) in 24 hours.</w:t>
      </w:r>
    </w:p>
    <w:p w14:paraId="6A17EA50" w14:textId="77777777" w:rsidR="007532DE" w:rsidRDefault="007532DE" w:rsidP="007532DE">
      <w:pPr>
        <w:pStyle w:val="Level2"/>
      </w:pPr>
      <w:r>
        <w:t>2.</w:t>
      </w:r>
      <w:r>
        <w:tab/>
        <w:t>Perform concrete internal relative humidity testing using situ probes in accordance with ASTM F2170. Proceed with installation only after concrete reaches maximum 75 percent relative humidity level measurement.</w:t>
      </w:r>
    </w:p>
    <w:p w14:paraId="3284E2B8" w14:textId="77777777" w:rsidR="007532DE" w:rsidRDefault="007532DE" w:rsidP="007532DE">
      <w:pPr>
        <w:pStyle w:val="Level1"/>
      </w:pPr>
      <w:r>
        <w:t>D.</w:t>
      </w:r>
      <w:r>
        <w:tab/>
        <w:t>Prepare wall and set base cap mold level.</w:t>
      </w:r>
    </w:p>
    <w:p w14:paraId="2EFA76A6" w14:textId="77777777" w:rsidR="007532DE" w:rsidRDefault="007532DE" w:rsidP="007532DE">
      <w:pPr>
        <w:pStyle w:val="Level2"/>
      </w:pPr>
      <w:r>
        <w:t>1.</w:t>
      </w:r>
      <w:r>
        <w:tab/>
        <w:t>Fill voids within the height of the wall where base is applied even with the wall surface.</w:t>
      </w:r>
    </w:p>
    <w:p w14:paraId="59A694EC" w14:textId="77777777" w:rsidR="007532DE" w:rsidRDefault="007532DE" w:rsidP="007532DE">
      <w:pPr>
        <w:pStyle w:val="Level2"/>
      </w:pPr>
      <w:r>
        <w:t>2.</w:t>
      </w:r>
      <w:r>
        <w:tab/>
        <w:t>Grind, sand, or cut away protrusions.</w:t>
      </w:r>
    </w:p>
    <w:p w14:paraId="66ABFAAC" w14:textId="77777777" w:rsidR="007532DE" w:rsidRDefault="007532DE" w:rsidP="007532DE">
      <w:pPr>
        <w:pStyle w:val="ArticleB"/>
      </w:pPr>
      <w:r>
        <w:t>3.4 APPLICATION</w:t>
      </w:r>
    </w:p>
    <w:p w14:paraId="6EBC89A0" w14:textId="77777777" w:rsidR="007532DE" w:rsidRDefault="007532DE" w:rsidP="007532DE">
      <w:pPr>
        <w:pStyle w:val="Level1"/>
      </w:pPr>
      <w:r>
        <w:t>A.</w:t>
      </w:r>
      <w:r>
        <w:tab/>
        <w:t>Mix and apply each component of resinous flooring system in compliance with manufacturer's specifications to produce a uniform monolithic flooring surface of 5 mm (3/16 inch) minimum thickness.</w:t>
      </w:r>
    </w:p>
    <w:p w14:paraId="51F8A39A" w14:textId="77777777" w:rsidR="007532DE" w:rsidRDefault="007532DE" w:rsidP="007532DE">
      <w:pPr>
        <w:pStyle w:val="Level1"/>
      </w:pPr>
      <w:r>
        <w:t>B.</w:t>
      </w:r>
      <w:r>
        <w:tab/>
        <w:t>Turn flooring up for coved 100 mm (4-inch) high base at vertical wall surfaces and penetrations. Cove joint with floor; 6 mm (1/4 inch) radius. Round interior and external corners.</w:t>
      </w:r>
    </w:p>
    <w:p w14:paraId="4AA93B1D" w14:textId="77777777" w:rsidR="007532DE" w:rsidRDefault="007532DE" w:rsidP="007532DE">
      <w:pPr>
        <w:pStyle w:val="Level1"/>
      </w:pPr>
      <w:r>
        <w:t>C.</w:t>
      </w:r>
      <w:r>
        <w:tab/>
        <w:t xml:space="preserve">Apply primer over prepared substrate at manufacturers specified rate.  Coordinate timing of primer application with application of troweled </w:t>
      </w:r>
      <w:r>
        <w:lastRenderedPageBreak/>
        <w:t>mortar to ensure optimum adhesion between resinous flooring materials and substrate.</w:t>
      </w:r>
    </w:p>
    <w:p w14:paraId="594D9E27" w14:textId="77777777" w:rsidR="007532DE" w:rsidRDefault="007532DE" w:rsidP="007532DE">
      <w:pPr>
        <w:pStyle w:val="Level1"/>
      </w:pPr>
      <w:r>
        <w:t>D.</w:t>
      </w:r>
      <w:r>
        <w:tab/>
        <w:t>Uniformly spread mortar over substrate adjusted to manufacturer's recommended maximum thickness to plane line of floor.</w:t>
      </w:r>
    </w:p>
    <w:p w14:paraId="11B9171C" w14:textId="77777777" w:rsidR="007532DE" w:rsidRDefault="007532DE" w:rsidP="007532DE">
      <w:pPr>
        <w:pStyle w:val="Level1"/>
      </w:pPr>
      <w:r>
        <w:t>E.</w:t>
      </w:r>
      <w:r>
        <w:tab/>
        <w:t>Trowel finish for smooth surface on base and coved surface.</w:t>
      </w:r>
    </w:p>
    <w:p w14:paraId="04B857F4" w14:textId="77777777" w:rsidR="007532DE" w:rsidRDefault="007532DE" w:rsidP="007532DE">
      <w:pPr>
        <w:pStyle w:val="Level1"/>
      </w:pPr>
      <w:r>
        <w:t>F.</w:t>
      </w:r>
      <w:r>
        <w:tab/>
        <w:t>Grout mortar surface as specified by manufacturer and broad cast colored quartz aggregate uniformly distributed for non-slip texture on floors to within one inch of base cove horizontal edge.</w:t>
      </w:r>
    </w:p>
    <w:p w14:paraId="2F12E9C2" w14:textId="77777777" w:rsidR="007532DE" w:rsidRDefault="007532DE" w:rsidP="007532DE">
      <w:pPr>
        <w:pStyle w:val="Level1"/>
      </w:pPr>
      <w:r>
        <w:t>G.</w:t>
      </w:r>
      <w:r>
        <w:tab/>
        <w:t>Apply a clear finish coat.</w:t>
      </w:r>
    </w:p>
    <w:p w14:paraId="039E8136" w14:textId="77777777" w:rsidR="007532DE" w:rsidRDefault="007532DE" w:rsidP="007532DE">
      <w:pPr>
        <w:pStyle w:val="ArticleB"/>
      </w:pPr>
      <w:r>
        <w:t>3.5 CURING, PROTECTION</w:t>
      </w:r>
      <w:r w:rsidR="006A3828">
        <w:t>,</w:t>
      </w:r>
      <w:r>
        <w:t xml:space="preserve"> AND CLEANING</w:t>
      </w:r>
    </w:p>
    <w:p w14:paraId="72CF9DE6" w14:textId="77777777" w:rsidR="007532DE" w:rsidRDefault="007532DE" w:rsidP="007532DE">
      <w:pPr>
        <w:pStyle w:val="Level1"/>
      </w:pPr>
      <w:r>
        <w:t>A.</w:t>
      </w:r>
      <w:r>
        <w:tab/>
        <w:t>Cure resinous flooring materials in compliance with manufacturer's directions, taking care to prevent contamination during stages of application and prior to completion of curing process.</w:t>
      </w:r>
    </w:p>
    <w:p w14:paraId="21E983FB" w14:textId="77777777" w:rsidR="007532DE" w:rsidRDefault="007532DE" w:rsidP="007532DE">
      <w:pPr>
        <w:pStyle w:val="Level1"/>
      </w:pPr>
      <w:r>
        <w:t>B.</w:t>
      </w:r>
      <w:r>
        <w:tab/>
        <w:t>Close area of application for a minimum of 24 hours.</w:t>
      </w:r>
    </w:p>
    <w:p w14:paraId="1678FEBD" w14:textId="77777777" w:rsidR="007532DE" w:rsidRDefault="007532DE" w:rsidP="007532DE">
      <w:pPr>
        <w:pStyle w:val="Level1"/>
      </w:pPr>
      <w:r>
        <w:t>C.</w:t>
      </w:r>
      <w:r>
        <w:tab/>
        <w:t>Protect resinous flooring materials from damage and wear during construction operation.</w:t>
      </w:r>
    </w:p>
    <w:p w14:paraId="3AD1683C" w14:textId="77777777" w:rsidR="007532DE" w:rsidRDefault="007532DE" w:rsidP="007532DE">
      <w:pPr>
        <w:pStyle w:val="Level2"/>
      </w:pPr>
      <w:r>
        <w:t>1.</w:t>
      </w:r>
      <w:r>
        <w:tab/>
        <w:t>Cover flooring with kraft paper.</w:t>
      </w:r>
    </w:p>
    <w:p w14:paraId="0E989BE5" w14:textId="77777777" w:rsidR="007532DE" w:rsidRDefault="007532DE" w:rsidP="007532DE">
      <w:pPr>
        <w:pStyle w:val="Level2"/>
      </w:pPr>
      <w:r>
        <w:t>2.</w:t>
      </w:r>
      <w:r>
        <w:tab/>
        <w:t>Covers paper with 6 mm (1/4 inch) thick hardboard, plywood, or particle board where area is in foot or vehicle traffic pattern, rolling or fixed scaffolding and overhead work occurs.</w:t>
      </w:r>
    </w:p>
    <w:p w14:paraId="0FA1485B" w14:textId="77777777" w:rsidR="007532DE" w:rsidRDefault="007532DE" w:rsidP="007532DE">
      <w:pPr>
        <w:pStyle w:val="Level1"/>
      </w:pPr>
      <w:r>
        <w:t>D.</w:t>
      </w:r>
      <w:r>
        <w:tab/>
        <w:t>Remove temporary covering and clean resinous flooring just prior to final inspection. Use cleaning materials and procedures recommended by resinous flooring manufacturer.</w:t>
      </w:r>
    </w:p>
    <w:p w14:paraId="39618C52" w14:textId="77777777" w:rsidR="007532DE" w:rsidRDefault="007532DE" w:rsidP="007532DE">
      <w:pPr>
        <w:pStyle w:val="ArticleB"/>
      </w:pPr>
      <w:r>
        <w:t>3.6 Tolerance</w:t>
      </w:r>
    </w:p>
    <w:p w14:paraId="6E5107A5" w14:textId="77777777" w:rsidR="007532DE" w:rsidRDefault="007532DE" w:rsidP="007532DE">
      <w:pPr>
        <w:pStyle w:val="Level1"/>
      </w:pPr>
      <w:r>
        <w:t>A.</w:t>
      </w:r>
      <w:r>
        <w:tab/>
        <w:t xml:space="preserve">From </w:t>
      </w:r>
      <w:r w:rsidR="006A3828">
        <w:t>Line of Plane</w:t>
      </w:r>
      <w:r>
        <w:t>: Maximum 3 mm (1/8 inch) in total distance of flooring and base.</w:t>
      </w:r>
    </w:p>
    <w:p w14:paraId="359F2753" w14:textId="77777777" w:rsidR="007532DE" w:rsidRDefault="007532DE" w:rsidP="007532DE">
      <w:pPr>
        <w:pStyle w:val="Level1"/>
      </w:pPr>
      <w:r>
        <w:t>B.</w:t>
      </w:r>
      <w:r>
        <w:tab/>
        <w:t xml:space="preserve">From </w:t>
      </w:r>
      <w:r w:rsidR="006A3828">
        <w:t>Radius of Cove</w:t>
      </w:r>
      <w:r>
        <w:t>: Maximum of 3 mm (1/8 inch) plus or 1.6 mm (1/16-inch) minus.</w:t>
      </w:r>
    </w:p>
    <w:p w14:paraId="35B461A9" w14:textId="77777777" w:rsidR="008D0A61" w:rsidRPr="00981BCA" w:rsidRDefault="007532DE" w:rsidP="00C05F14">
      <w:pPr>
        <w:pStyle w:val="SpecNormal"/>
        <w:jc w:val="center"/>
      </w:pPr>
      <w:r>
        <w:t>- - - E N D - - -</w:t>
      </w:r>
    </w:p>
    <w:sectPr w:rsidR="008D0A61" w:rsidRPr="00981BCA">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AFC7" w14:textId="77777777" w:rsidR="008A35AD" w:rsidRDefault="008A35AD">
      <w:r>
        <w:separator/>
      </w:r>
    </w:p>
  </w:endnote>
  <w:endnote w:type="continuationSeparator" w:id="0">
    <w:p w14:paraId="7F2A0C4D" w14:textId="77777777" w:rsidR="008A35AD" w:rsidRDefault="008A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C011" w14:textId="77777777" w:rsidR="0085281A" w:rsidRDefault="00852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327B" w14:textId="77777777" w:rsidR="00683792" w:rsidRDefault="007532DE" w:rsidP="007532DE">
    <w:pPr>
      <w:pStyle w:val="Footer"/>
    </w:pPr>
    <w:r>
      <w:t>RESINOUS FLOORING</w:t>
    </w:r>
  </w:p>
  <w:p w14:paraId="4FC87811" w14:textId="77777777" w:rsidR="007532DE" w:rsidRPr="00ED1AEE" w:rsidRDefault="007532DE" w:rsidP="007532DE">
    <w:pPr>
      <w:pStyle w:val="Footer"/>
    </w:pPr>
    <w:r>
      <w:t xml:space="preserve">09 67 23 - </w:t>
    </w:r>
    <w:r>
      <w:fldChar w:fldCharType="begin"/>
    </w:r>
    <w:r>
      <w:instrText xml:space="preserve"> PAGE   \* MERGEFORMAT </w:instrText>
    </w:r>
    <w:r>
      <w:fldChar w:fldCharType="separate"/>
    </w:r>
    <w:r w:rsidR="0054369D">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FE37" w14:textId="77777777" w:rsidR="0085281A" w:rsidRDefault="00852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DD6A" w14:textId="77777777" w:rsidR="008A35AD" w:rsidRDefault="008A35AD">
      <w:r>
        <w:separator/>
      </w:r>
    </w:p>
  </w:footnote>
  <w:footnote w:type="continuationSeparator" w:id="0">
    <w:p w14:paraId="67E4E79F" w14:textId="77777777" w:rsidR="008A35AD" w:rsidRDefault="008A3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4ECE" w14:textId="77777777" w:rsidR="0085281A" w:rsidRDefault="00852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0EDA" w14:textId="0A39EEA0" w:rsidR="007532DE" w:rsidRPr="00804BBA" w:rsidRDefault="002E79C9" w:rsidP="00804BBA">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CD6A" w14:textId="77777777" w:rsidR="0085281A" w:rsidRDefault="00852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4093797">
    <w:abstractNumId w:val="0"/>
  </w:num>
  <w:num w:numId="2" w16cid:durableId="2025859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DE"/>
    <w:rsid w:val="000637D8"/>
    <w:rsid w:val="000C6CF6"/>
    <w:rsid w:val="001923F4"/>
    <w:rsid w:val="001F6E40"/>
    <w:rsid w:val="00246B22"/>
    <w:rsid w:val="002E79C9"/>
    <w:rsid w:val="002F572B"/>
    <w:rsid w:val="00331122"/>
    <w:rsid w:val="00335860"/>
    <w:rsid w:val="00371E83"/>
    <w:rsid w:val="00392CB0"/>
    <w:rsid w:val="003A5D1A"/>
    <w:rsid w:val="004002D7"/>
    <w:rsid w:val="00485230"/>
    <w:rsid w:val="004D782A"/>
    <w:rsid w:val="0054369D"/>
    <w:rsid w:val="0059076A"/>
    <w:rsid w:val="005F3717"/>
    <w:rsid w:val="00683792"/>
    <w:rsid w:val="006A3828"/>
    <w:rsid w:val="006B3C9E"/>
    <w:rsid w:val="006C3262"/>
    <w:rsid w:val="00711A61"/>
    <w:rsid w:val="007532DE"/>
    <w:rsid w:val="007B1071"/>
    <w:rsid w:val="007B18C7"/>
    <w:rsid w:val="00803557"/>
    <w:rsid w:val="00804BBA"/>
    <w:rsid w:val="0085281A"/>
    <w:rsid w:val="0087544E"/>
    <w:rsid w:val="008A35AD"/>
    <w:rsid w:val="008D0A61"/>
    <w:rsid w:val="00981BCA"/>
    <w:rsid w:val="00A02CFE"/>
    <w:rsid w:val="00B51BC1"/>
    <w:rsid w:val="00BA105B"/>
    <w:rsid w:val="00BC68F4"/>
    <w:rsid w:val="00C05F14"/>
    <w:rsid w:val="00C37F7D"/>
    <w:rsid w:val="00C76ABE"/>
    <w:rsid w:val="00CC6D67"/>
    <w:rsid w:val="00CE64A3"/>
    <w:rsid w:val="00CF374F"/>
    <w:rsid w:val="00D117F1"/>
    <w:rsid w:val="00D45911"/>
    <w:rsid w:val="00D64D12"/>
    <w:rsid w:val="00DB0FBC"/>
    <w:rsid w:val="00DC2407"/>
    <w:rsid w:val="00E55F8A"/>
    <w:rsid w:val="00ED1AEE"/>
    <w:rsid w:val="00F02902"/>
    <w:rsid w:val="00F46F5D"/>
    <w:rsid w:val="00F62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C47BC"/>
  <w15:docId w15:val="{9B43052C-3D9F-4667-9E09-A7FB1176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2DE"/>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uiPriority w:val="99"/>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customStyle="1" w:styleId="Level1Char">
    <w:name w:val="Level1 Char"/>
    <w:link w:val="Level1"/>
    <w:locked/>
    <w:rsid w:val="007532DE"/>
    <w:rPr>
      <w:rFonts w:ascii="Courier New" w:hAnsi="Courier New"/>
    </w:rPr>
  </w:style>
  <w:style w:type="character" w:customStyle="1" w:styleId="HeaderChar">
    <w:name w:val="Header Char"/>
    <w:link w:val="Header"/>
    <w:rsid w:val="0059076A"/>
    <w:rPr>
      <w:rFonts w:ascii="Courier New" w:hAnsi="Courier New"/>
    </w:rPr>
  </w:style>
  <w:style w:type="paragraph" w:styleId="Revision">
    <w:name w:val="Revision"/>
    <w:hidden/>
    <w:uiPriority w:val="99"/>
    <w:semiHidden/>
    <w:rsid w:val="00F02902"/>
    <w:rPr>
      <w:rFonts w:ascii="Courier New" w:hAnsi="Courier New"/>
    </w:rPr>
  </w:style>
  <w:style w:type="character" w:styleId="CommentReference">
    <w:name w:val="annotation reference"/>
    <w:basedOn w:val="DefaultParagraphFont"/>
    <w:semiHidden/>
    <w:unhideWhenUsed/>
    <w:rsid w:val="00C76ABE"/>
    <w:rPr>
      <w:sz w:val="16"/>
      <w:szCs w:val="16"/>
    </w:rPr>
  </w:style>
  <w:style w:type="paragraph" w:styleId="CommentText">
    <w:name w:val="annotation text"/>
    <w:basedOn w:val="Normal"/>
    <w:link w:val="CommentTextChar"/>
    <w:unhideWhenUsed/>
    <w:rsid w:val="00C76ABE"/>
  </w:style>
  <w:style w:type="character" w:customStyle="1" w:styleId="CommentTextChar">
    <w:name w:val="Comment Text Char"/>
    <w:basedOn w:val="DefaultParagraphFont"/>
    <w:link w:val="CommentText"/>
    <w:rsid w:val="00C76ABE"/>
    <w:rPr>
      <w:rFonts w:ascii="Courier New" w:hAnsi="Courier New"/>
    </w:rPr>
  </w:style>
  <w:style w:type="paragraph" w:styleId="CommentSubject">
    <w:name w:val="annotation subject"/>
    <w:basedOn w:val="CommentText"/>
    <w:next w:val="CommentText"/>
    <w:link w:val="CommentSubjectChar"/>
    <w:semiHidden/>
    <w:unhideWhenUsed/>
    <w:rsid w:val="00C76ABE"/>
    <w:rPr>
      <w:b/>
      <w:bCs/>
    </w:rPr>
  </w:style>
  <w:style w:type="character" w:customStyle="1" w:styleId="CommentSubjectChar">
    <w:name w:val="Comment Subject Char"/>
    <w:basedOn w:val="CommentTextChar"/>
    <w:link w:val="CommentSubject"/>
    <w:semiHidden/>
    <w:rsid w:val="00C76ABE"/>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887202">
      <w:bodyDiv w:val="1"/>
      <w:marLeft w:val="0"/>
      <w:marRight w:val="0"/>
      <w:marTop w:val="0"/>
      <w:marBottom w:val="0"/>
      <w:divBdr>
        <w:top w:val="none" w:sz="0" w:space="0" w:color="auto"/>
        <w:left w:val="none" w:sz="0" w:space="0" w:color="auto"/>
        <w:bottom w:val="none" w:sz="0" w:space="0" w:color="auto"/>
        <w:right w:val="none" w:sz="0" w:space="0" w:color="auto"/>
      </w:divBdr>
    </w:div>
    <w:div w:id="962225032">
      <w:bodyDiv w:val="1"/>
      <w:marLeft w:val="0"/>
      <w:marRight w:val="0"/>
      <w:marTop w:val="0"/>
      <w:marBottom w:val="0"/>
      <w:divBdr>
        <w:top w:val="none" w:sz="0" w:space="0" w:color="auto"/>
        <w:left w:val="none" w:sz="0" w:space="0" w:color="auto"/>
        <w:bottom w:val="none" w:sz="0" w:space="0" w:color="auto"/>
        <w:right w:val="none" w:sz="0" w:space="0" w:color="auto"/>
      </w:divBdr>
    </w:div>
    <w:div w:id="20830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4F62E-1DD0-4F61-AF2E-D9B78CC7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SpecTemplate rev - Copy.dot</Template>
  <TotalTime>40</TotalTime>
  <Pages>7</Pages>
  <Words>1776</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67 23 RESINOUS FLOORING</dc:title>
  <dc:subject>NCA MASTER CONSTRUCTION SPECIFICATIONS</dc:subject>
  <dc:creator>Department of Veterans Affairs, Office of Construction and Facilities Management, Facilities Standards Service</dc:creator>
  <cp:lastModifiedBy>Bunn, Elizabeth (CFM)</cp:lastModifiedBy>
  <cp:revision>9</cp:revision>
  <cp:lastPrinted>2023-07-28T18:57:00Z</cp:lastPrinted>
  <dcterms:created xsi:type="dcterms:W3CDTF">2014-05-14T13:16:00Z</dcterms:created>
  <dcterms:modified xsi:type="dcterms:W3CDTF">2023-09-14T18:00:00Z</dcterms:modified>
</cp:coreProperties>
</file>